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D1DD" w14:textId="166C4008" w:rsidR="003F49BD" w:rsidRPr="00F65FE1" w:rsidRDefault="003F49BD" w:rsidP="00C312F4">
      <w:pPr>
        <w:autoSpaceDE w:val="0"/>
        <w:autoSpaceDN w:val="0"/>
        <w:adjustRightInd w:val="0"/>
        <w:spacing w:after="0" w:line="240" w:lineRule="auto"/>
        <w:rPr>
          <w:rFonts w:ascii="ITC Stone Serif Std Medium" w:hAnsi="ITC Stone Serif Std Medium"/>
          <w:sz w:val="20"/>
        </w:rPr>
      </w:pPr>
      <w:r w:rsidRPr="00F65FE1">
        <w:rPr>
          <w:rFonts w:ascii="ITC Stone Serif Std Medium" w:hAnsi="ITC Stone Serif Std Medium" w:cs="StoneSans-Semibold"/>
          <w:b/>
          <w:bCs/>
          <w:color w:val="7F7F7F"/>
          <w:szCs w:val="24"/>
        </w:rPr>
        <w:t>ADMINISTRATIVE PROFESSIONAL POSITIONS MUST QUALIFY FOR ONE OF THE</w:t>
      </w:r>
      <w:r w:rsidR="00C312F4" w:rsidRPr="00F65FE1">
        <w:rPr>
          <w:rFonts w:ascii="ITC Stone Serif Std Medium" w:hAnsi="ITC Stone Serif Std Medium" w:cs="StoneSans-Semibold"/>
          <w:b/>
          <w:bCs/>
          <w:color w:val="7F7F7F"/>
          <w:szCs w:val="24"/>
        </w:rPr>
        <w:t xml:space="preserve"> </w:t>
      </w:r>
      <w:hyperlink r:id="rId7" w:history="1">
        <w:r w:rsidR="00253D89" w:rsidRPr="00F65FE1">
          <w:rPr>
            <w:rStyle w:val="Hyperlink"/>
            <w:rFonts w:ascii="ITC Stone Serif Std Medium" w:hAnsi="ITC Stone Serif Std Medium" w:cs="StoneSans-Semibold"/>
            <w:b/>
            <w:bCs/>
            <w:szCs w:val="24"/>
          </w:rPr>
          <w:t>EXEMPTION CRITERIA</w:t>
        </w:r>
      </w:hyperlink>
      <w:r w:rsidR="00253D89" w:rsidRPr="00F65FE1">
        <w:rPr>
          <w:rFonts w:ascii="ITC Stone Serif Std Medium" w:hAnsi="ITC Stone Serif Std Medium" w:cs="StoneSans-Semibold"/>
          <w:b/>
          <w:bCs/>
          <w:color w:val="0000FF"/>
          <w:szCs w:val="24"/>
        </w:rPr>
        <w:t xml:space="preserve"> </w:t>
      </w:r>
      <w:r w:rsidRPr="00F65FE1">
        <w:rPr>
          <w:rFonts w:ascii="ITC Stone Serif Std Medium" w:hAnsi="ITC Stone Serif Std Medium" w:cs="StoneSans-Semibold"/>
          <w:b/>
          <w:bCs/>
          <w:color w:val="7F7F7F"/>
          <w:szCs w:val="24"/>
        </w:rPr>
        <w:t>SET FORTH IN RCW 41.06.070.</w:t>
      </w:r>
    </w:p>
    <w:p w14:paraId="0B124874" w14:textId="77777777" w:rsidR="003F49BD" w:rsidRPr="00F65FE1" w:rsidRDefault="003F49BD" w:rsidP="00B64812">
      <w:pPr>
        <w:pStyle w:val="Heading1"/>
        <w:jc w:val="center"/>
        <w:rPr>
          <w:rFonts w:ascii="ITC Stone Serif Std Medium" w:hAnsi="ITC Stone Serif Std Medium" w:cs="Arial"/>
          <w:sz w:val="22"/>
          <w:szCs w:val="24"/>
        </w:rPr>
      </w:pPr>
    </w:p>
    <w:p w14:paraId="13FCBB6D" w14:textId="237942C8" w:rsidR="00B64812" w:rsidRPr="00F65FE1" w:rsidRDefault="00EF7C7C" w:rsidP="00EF7C7C">
      <w:pPr>
        <w:pStyle w:val="NoSpacing"/>
        <w:jc w:val="center"/>
        <w:rPr>
          <w:rFonts w:ascii="ITC Stone Serif Std Medium" w:hAnsi="ITC Stone Serif Std Medium"/>
          <w:b/>
          <w:szCs w:val="24"/>
        </w:rPr>
      </w:pPr>
      <w:r w:rsidRPr="00F65FE1">
        <w:rPr>
          <w:rFonts w:ascii="ITC Stone Serif Std Medium" w:hAnsi="ITC Stone Serif Std Medium"/>
          <w:b/>
          <w:szCs w:val="24"/>
        </w:rPr>
        <w:t>ADMINISTRATIVE PROFESSIONAL</w:t>
      </w:r>
    </w:p>
    <w:p w14:paraId="61AEF7B2" w14:textId="2C9BA196" w:rsidR="00B64812" w:rsidRPr="00F65FE1" w:rsidRDefault="00B64812" w:rsidP="00EF7C7C">
      <w:pPr>
        <w:pStyle w:val="NoSpacing"/>
        <w:jc w:val="center"/>
        <w:rPr>
          <w:rFonts w:ascii="ITC Stone Serif Std Medium" w:hAnsi="ITC Stone Serif Std Medium"/>
          <w:b/>
          <w:szCs w:val="24"/>
        </w:rPr>
      </w:pPr>
      <w:r w:rsidRPr="00F65FE1">
        <w:rPr>
          <w:rFonts w:ascii="ITC Stone Serif Std Medium" w:hAnsi="ITC Stone Serif Std Medium"/>
          <w:b/>
          <w:szCs w:val="24"/>
        </w:rPr>
        <w:t>B</w:t>
      </w:r>
      <w:r w:rsidR="00EF7C7C" w:rsidRPr="00F65FE1">
        <w:rPr>
          <w:rFonts w:ascii="ITC Stone Serif Std Medium" w:hAnsi="ITC Stone Serif Std Medium"/>
          <w:b/>
          <w:szCs w:val="24"/>
        </w:rPr>
        <w:t xml:space="preserve">enchmark </w:t>
      </w:r>
      <w:r w:rsidRPr="00F65FE1">
        <w:rPr>
          <w:rFonts w:ascii="ITC Stone Serif Std Medium" w:hAnsi="ITC Stone Serif Std Medium"/>
          <w:b/>
          <w:szCs w:val="24"/>
        </w:rPr>
        <w:t>Job Class</w:t>
      </w:r>
    </w:p>
    <w:p w14:paraId="10616339" w14:textId="717CFDA4" w:rsidR="00B64812" w:rsidRPr="00F65FE1" w:rsidRDefault="00B64812" w:rsidP="00EF7C7C">
      <w:pPr>
        <w:pStyle w:val="NoSpacing"/>
        <w:jc w:val="center"/>
        <w:rPr>
          <w:rFonts w:ascii="ITC Stone Serif Std Medium" w:hAnsi="ITC Stone Serif Std Medium"/>
          <w:b/>
          <w:szCs w:val="24"/>
        </w:rPr>
      </w:pPr>
      <w:r w:rsidRPr="00F65FE1">
        <w:rPr>
          <w:rFonts w:ascii="ITC Stone Serif Std Medium" w:hAnsi="ITC Stone Serif Std Medium"/>
          <w:b/>
          <w:szCs w:val="24"/>
        </w:rPr>
        <w:t>Aca</w:t>
      </w:r>
      <w:r w:rsidR="00CB314D" w:rsidRPr="00F65FE1">
        <w:rPr>
          <w:rFonts w:ascii="ITC Stone Serif Std Medium" w:hAnsi="ITC Stone Serif Std Medium"/>
          <w:b/>
          <w:szCs w:val="24"/>
        </w:rPr>
        <w:t>demic Coordinator/</w:t>
      </w:r>
      <w:r w:rsidR="00EF7C7C" w:rsidRPr="00F65FE1">
        <w:rPr>
          <w:rFonts w:ascii="ITC Stone Serif Std Medium" w:hAnsi="ITC Stone Serif Std Medium"/>
          <w:b/>
          <w:szCs w:val="24"/>
        </w:rPr>
        <w:t>A</w:t>
      </w:r>
      <w:r w:rsidR="00CB314D" w:rsidRPr="00F65FE1">
        <w:rPr>
          <w:rFonts w:ascii="ITC Stone Serif Std Medium" w:hAnsi="ITC Stone Serif Std Medium"/>
          <w:b/>
          <w:szCs w:val="24"/>
        </w:rPr>
        <w:t>dvisor</w:t>
      </w:r>
      <w:r w:rsidR="00EF7C7C" w:rsidRPr="00F65FE1">
        <w:rPr>
          <w:rFonts w:ascii="ITC Stone Serif Std Medium" w:hAnsi="ITC Stone Serif Std Medium"/>
          <w:b/>
          <w:szCs w:val="24"/>
        </w:rPr>
        <w:t xml:space="preserve"> </w:t>
      </w:r>
      <w:r w:rsidR="00CB314D" w:rsidRPr="00F65FE1">
        <w:rPr>
          <w:rFonts w:ascii="ITC Stone Serif Std Medium" w:hAnsi="ITC Stone Serif Std Medium"/>
          <w:b/>
          <w:szCs w:val="24"/>
        </w:rPr>
        <w:t>1</w:t>
      </w:r>
      <w:r w:rsidR="005E2DAD" w:rsidRPr="00F65FE1">
        <w:rPr>
          <w:rFonts w:ascii="ITC Stone Serif Std Medium" w:hAnsi="ITC Stone Serif Std Medium"/>
          <w:b/>
          <w:szCs w:val="24"/>
        </w:rPr>
        <w:t>/</w:t>
      </w:r>
      <w:r w:rsidR="00D83655" w:rsidRPr="00F65FE1">
        <w:rPr>
          <w:rFonts w:ascii="ITC Stone Serif Std Medium" w:hAnsi="ITC Stone Serif Std Medium"/>
          <w:b/>
          <w:szCs w:val="24"/>
        </w:rPr>
        <w:t>1484</w:t>
      </w:r>
    </w:p>
    <w:p w14:paraId="03284958" w14:textId="77777777" w:rsidR="00B64812" w:rsidRPr="00F65FE1" w:rsidRDefault="00B64812" w:rsidP="00EF7C7C">
      <w:pPr>
        <w:pStyle w:val="NoSpacing"/>
        <w:rPr>
          <w:rFonts w:ascii="ITC Stone Serif Std Medium" w:hAnsi="ITC Stone Serif Std Medium"/>
          <w:sz w:val="20"/>
        </w:rPr>
      </w:pPr>
    </w:p>
    <w:p w14:paraId="3B925AF5" w14:textId="77777777" w:rsidR="00B64812" w:rsidRPr="00F65FE1" w:rsidRDefault="00B64812" w:rsidP="00C312F4">
      <w:pPr>
        <w:jc w:val="both"/>
        <w:rPr>
          <w:rFonts w:ascii="ITC Stone Serif Std Medium" w:hAnsi="ITC Stone Serif Std Medium" w:cs="Arial"/>
          <w:szCs w:val="24"/>
        </w:rPr>
      </w:pPr>
    </w:p>
    <w:p w14:paraId="78B8465D" w14:textId="77777777" w:rsidR="00B64812" w:rsidRPr="00F65FE1" w:rsidRDefault="00B64812" w:rsidP="00C312F4">
      <w:pPr>
        <w:pStyle w:val="Heading3"/>
        <w:jc w:val="both"/>
        <w:rPr>
          <w:rFonts w:ascii="ITC Stone Serif Std Medium" w:hAnsi="ITC Stone Serif Std Medium" w:cs="Arial"/>
          <w:b/>
          <w:sz w:val="22"/>
          <w:szCs w:val="24"/>
          <w:u w:val="single"/>
        </w:rPr>
      </w:pPr>
      <w:r w:rsidRPr="00F65FE1">
        <w:rPr>
          <w:rFonts w:ascii="ITC Stone Serif Std Medium" w:hAnsi="ITC Stone Serif Std Medium" w:cs="Arial"/>
          <w:b/>
          <w:sz w:val="22"/>
          <w:szCs w:val="24"/>
          <w:u w:val="single"/>
        </w:rPr>
        <w:t>Function and General Scope</w:t>
      </w:r>
    </w:p>
    <w:p w14:paraId="0C05E298" w14:textId="77777777" w:rsidR="0065075F" w:rsidRPr="0065075F" w:rsidRDefault="0065075F" w:rsidP="0065075F">
      <w:pPr>
        <w:autoSpaceDE w:val="0"/>
        <w:autoSpaceDN w:val="0"/>
        <w:adjustRightInd w:val="0"/>
        <w:spacing w:after="0" w:line="240" w:lineRule="auto"/>
        <w:jc w:val="both"/>
        <w:rPr>
          <w:rFonts w:ascii="ITC Stone Serif Std Medium" w:hAnsi="ITC Stone Serif Std Medium" w:cs="Arial"/>
          <w:szCs w:val="24"/>
        </w:rPr>
      </w:pPr>
      <w:r w:rsidRPr="0065075F">
        <w:rPr>
          <w:rFonts w:ascii="ITC Stone Serif Std Medium" w:hAnsi="ITC Stone Serif Std Medium" w:cs="Arial"/>
          <w:szCs w:val="24"/>
        </w:rPr>
        <w:t>Positions assigned to this class are primarily responsible for performing duties involved in academic advisement, academic counseling, or closely related activities for prospective and current students within a specified academic department, school, or college or equivalent unit of a college.</w:t>
      </w:r>
    </w:p>
    <w:p w14:paraId="58D289E3" w14:textId="77777777" w:rsidR="0065075F" w:rsidRPr="0065075F" w:rsidRDefault="0065075F" w:rsidP="0065075F">
      <w:pPr>
        <w:autoSpaceDE w:val="0"/>
        <w:autoSpaceDN w:val="0"/>
        <w:adjustRightInd w:val="0"/>
        <w:spacing w:after="0" w:line="240" w:lineRule="auto"/>
        <w:jc w:val="both"/>
        <w:rPr>
          <w:rFonts w:ascii="ITC Stone Serif Std Medium" w:hAnsi="ITC Stone Serif Std Medium" w:cs="Arial"/>
          <w:szCs w:val="24"/>
        </w:rPr>
      </w:pPr>
    </w:p>
    <w:p w14:paraId="20009CFE" w14:textId="77777777" w:rsidR="0065075F" w:rsidRPr="0065075F" w:rsidRDefault="0065075F" w:rsidP="0065075F">
      <w:pPr>
        <w:autoSpaceDE w:val="0"/>
        <w:autoSpaceDN w:val="0"/>
        <w:adjustRightInd w:val="0"/>
        <w:spacing w:after="0" w:line="240" w:lineRule="auto"/>
        <w:jc w:val="both"/>
        <w:rPr>
          <w:rFonts w:ascii="ITC Stone Serif Std Medium" w:hAnsi="ITC Stone Serif Std Medium" w:cs="Arial"/>
          <w:szCs w:val="24"/>
        </w:rPr>
      </w:pPr>
      <w:r w:rsidRPr="0065075F">
        <w:rPr>
          <w:rFonts w:ascii="ITC Stone Serif Std Medium" w:hAnsi="ITC Stone Serif Std Medium" w:cs="Arial"/>
          <w:szCs w:val="24"/>
        </w:rPr>
        <w:t>The majority of the responsibilities will include duties such as, but are not limited to academic counseling or advising students, analyzing applications for certification; assessing academic level; responding to academic inquiries; academic advising including developing individual academic plans; educating students in the areas of academic planning, interpretation of department, school, college, and university requirements, degree requirements, career exploration, and other related matters; counseling non‐students about possible admission to university programs; providing academic planning advice for prospective transfer students.</w:t>
      </w:r>
    </w:p>
    <w:p w14:paraId="52938BEC" w14:textId="77777777" w:rsidR="0065075F" w:rsidRPr="0065075F" w:rsidRDefault="0065075F" w:rsidP="0065075F">
      <w:pPr>
        <w:autoSpaceDE w:val="0"/>
        <w:autoSpaceDN w:val="0"/>
        <w:adjustRightInd w:val="0"/>
        <w:spacing w:after="0" w:line="240" w:lineRule="auto"/>
        <w:jc w:val="both"/>
        <w:rPr>
          <w:rFonts w:ascii="ITC Stone Serif Std Medium" w:hAnsi="ITC Stone Serif Std Medium" w:cs="Arial"/>
          <w:szCs w:val="24"/>
        </w:rPr>
      </w:pPr>
    </w:p>
    <w:p w14:paraId="016BB9CD" w14:textId="77777777" w:rsidR="0065075F" w:rsidRPr="0065075F" w:rsidRDefault="0065075F" w:rsidP="0065075F">
      <w:pPr>
        <w:autoSpaceDE w:val="0"/>
        <w:autoSpaceDN w:val="0"/>
        <w:adjustRightInd w:val="0"/>
        <w:spacing w:after="0" w:line="240" w:lineRule="auto"/>
        <w:jc w:val="both"/>
        <w:rPr>
          <w:rFonts w:ascii="ITC Stone Serif Std Medium" w:hAnsi="ITC Stone Serif Std Medium" w:cs="Arial"/>
          <w:szCs w:val="24"/>
        </w:rPr>
      </w:pPr>
      <w:r w:rsidRPr="0065075F">
        <w:rPr>
          <w:rFonts w:ascii="ITC Stone Serif Std Medium" w:hAnsi="ITC Stone Serif Std Medium" w:cs="Arial"/>
          <w:szCs w:val="24"/>
        </w:rPr>
        <w:t>Positions may participate in coordinating student advising workshops, arranging for campus visits, recruitment activities, and assist in developing unit procedures/methodologies.</w:t>
      </w:r>
    </w:p>
    <w:p w14:paraId="1CC39184" w14:textId="77777777" w:rsidR="0065075F" w:rsidRPr="0065075F" w:rsidRDefault="0065075F" w:rsidP="0065075F">
      <w:pPr>
        <w:autoSpaceDE w:val="0"/>
        <w:autoSpaceDN w:val="0"/>
        <w:adjustRightInd w:val="0"/>
        <w:spacing w:after="0" w:line="240" w:lineRule="auto"/>
        <w:jc w:val="both"/>
        <w:rPr>
          <w:rFonts w:ascii="ITC Stone Serif Std Medium" w:hAnsi="ITC Stone Serif Std Medium" w:cs="Arial"/>
          <w:szCs w:val="24"/>
        </w:rPr>
      </w:pPr>
    </w:p>
    <w:p w14:paraId="1922B081" w14:textId="15B23698" w:rsidR="00CE0117" w:rsidRDefault="0065075F" w:rsidP="0065075F">
      <w:pPr>
        <w:autoSpaceDE w:val="0"/>
        <w:autoSpaceDN w:val="0"/>
        <w:adjustRightInd w:val="0"/>
        <w:spacing w:after="0" w:line="240" w:lineRule="auto"/>
        <w:jc w:val="both"/>
        <w:rPr>
          <w:rFonts w:ascii="ITC Stone Serif Std Medium" w:hAnsi="ITC Stone Serif Std Medium" w:cs="Arial"/>
          <w:szCs w:val="24"/>
        </w:rPr>
      </w:pPr>
      <w:r w:rsidRPr="0065075F">
        <w:rPr>
          <w:rFonts w:ascii="ITC Stone Serif Std Medium" w:hAnsi="ITC Stone Serif Std Medium" w:cs="Arial"/>
          <w:szCs w:val="24"/>
        </w:rPr>
        <w:t>University standard caseload of up to 250 students. Total advisee caseload may fluctuate based on unit/area needs and structure in consultation with the Provosts Office.</w:t>
      </w:r>
    </w:p>
    <w:p w14:paraId="2256EABA" w14:textId="77777777" w:rsidR="0065075F" w:rsidRPr="00F65FE1" w:rsidRDefault="0065075F" w:rsidP="0065075F">
      <w:pPr>
        <w:autoSpaceDE w:val="0"/>
        <w:autoSpaceDN w:val="0"/>
        <w:adjustRightInd w:val="0"/>
        <w:spacing w:after="0" w:line="240" w:lineRule="auto"/>
        <w:jc w:val="both"/>
        <w:rPr>
          <w:rFonts w:ascii="ITC Stone Serif Std Medium" w:hAnsi="ITC Stone Serif Std Medium" w:cs="Arial"/>
          <w:szCs w:val="24"/>
        </w:rPr>
      </w:pPr>
    </w:p>
    <w:p w14:paraId="4F7DD71C" w14:textId="77777777" w:rsidR="003F49BD" w:rsidRPr="00F65FE1" w:rsidRDefault="003F49BD" w:rsidP="00C312F4">
      <w:pPr>
        <w:keepNext/>
        <w:spacing w:after="0" w:line="240" w:lineRule="auto"/>
        <w:jc w:val="both"/>
        <w:outlineLvl w:val="3"/>
        <w:rPr>
          <w:rFonts w:ascii="ITC Stone Serif Std Medium" w:eastAsia="Times New Roman" w:hAnsi="ITC Stone Serif Std Medium" w:cs="Arial"/>
          <w:b/>
          <w:szCs w:val="24"/>
          <w:u w:val="single"/>
        </w:rPr>
      </w:pPr>
      <w:r w:rsidRPr="00F65FE1">
        <w:rPr>
          <w:rFonts w:ascii="ITC Stone Serif Std Medium" w:eastAsia="Times New Roman" w:hAnsi="ITC Stone Serif Std Medium" w:cs="Arial"/>
          <w:b/>
          <w:szCs w:val="24"/>
          <w:u w:val="single"/>
        </w:rPr>
        <w:t>Classification Requirements (Minimum Qualifications)</w:t>
      </w:r>
    </w:p>
    <w:p w14:paraId="73825F16" w14:textId="39B75024" w:rsidR="00B64812" w:rsidRPr="00F65FE1" w:rsidRDefault="00BF72B7" w:rsidP="00C312F4">
      <w:pPr>
        <w:autoSpaceDE w:val="0"/>
        <w:autoSpaceDN w:val="0"/>
        <w:adjustRightInd w:val="0"/>
        <w:spacing w:after="0" w:line="240" w:lineRule="auto"/>
        <w:jc w:val="both"/>
        <w:rPr>
          <w:rFonts w:ascii="ITC Stone Serif Std Medium" w:hAnsi="ITC Stone Serif Std Medium" w:cs="Arial"/>
          <w:szCs w:val="24"/>
        </w:rPr>
      </w:pPr>
      <w:r w:rsidRPr="00F65FE1">
        <w:rPr>
          <w:rFonts w:ascii="ITC Stone Serif Std Medium" w:hAnsi="ITC Stone Serif Std Medium" w:cs="Arial"/>
          <w:szCs w:val="24"/>
        </w:rPr>
        <w:t xml:space="preserve">Bachelor’s degree and </w:t>
      </w:r>
      <w:r w:rsidR="004645ED" w:rsidRPr="004645ED">
        <w:rPr>
          <w:rFonts w:ascii="ITC Stone Serif Std Medium" w:hAnsi="ITC Stone Serif Std Medium" w:cs="Arial"/>
          <w:szCs w:val="24"/>
        </w:rPr>
        <w:t>two (2) years’ experience working with students in an educational setting or related experience</w:t>
      </w:r>
      <w:r w:rsidR="00B64812" w:rsidRPr="00F65FE1">
        <w:rPr>
          <w:rFonts w:ascii="ITC Stone Serif Std Medium" w:hAnsi="ITC Stone Serif Std Medium" w:cs="Arial"/>
          <w:szCs w:val="24"/>
        </w:rPr>
        <w:t xml:space="preserve">. </w:t>
      </w:r>
      <w:r w:rsidR="00ED36A1" w:rsidRPr="00F65FE1">
        <w:rPr>
          <w:rFonts w:ascii="ITC Stone Serif Std Medium" w:hAnsi="ITC Stone Serif Std Medium" w:cs="Arial"/>
          <w:szCs w:val="24"/>
        </w:rPr>
        <w:t xml:space="preserve">A Master’s degree in a related field may substitute for one (1) year of professional work experience. </w:t>
      </w:r>
      <w:r w:rsidR="00B64812" w:rsidRPr="00F65FE1">
        <w:rPr>
          <w:rFonts w:ascii="ITC Stone Serif Std Medium" w:hAnsi="ITC Stone Serif Std Medium" w:cs="Arial"/>
          <w:szCs w:val="24"/>
        </w:rPr>
        <w:t>Any combination of relevant education and professional experience may be substituted for the educational requirement on a year</w:t>
      </w:r>
      <w:r w:rsidR="00B64812" w:rsidRPr="00F65FE1">
        <w:rPr>
          <w:rFonts w:ascii="Cambria Math" w:hAnsi="Cambria Math" w:cs="Cambria Math"/>
          <w:szCs w:val="24"/>
        </w:rPr>
        <w:t>‐</w:t>
      </w:r>
      <w:r w:rsidR="00B64812" w:rsidRPr="00F65FE1">
        <w:rPr>
          <w:rFonts w:ascii="ITC Stone Serif Std Medium" w:hAnsi="ITC Stone Serif Std Medium" w:cs="Arial"/>
          <w:szCs w:val="24"/>
        </w:rPr>
        <w:t>for</w:t>
      </w:r>
      <w:r w:rsidR="00B64812" w:rsidRPr="00F65FE1">
        <w:rPr>
          <w:rFonts w:ascii="Cambria Math" w:hAnsi="Cambria Math" w:cs="Cambria Math"/>
          <w:szCs w:val="24"/>
        </w:rPr>
        <w:t>‐</w:t>
      </w:r>
      <w:r w:rsidR="00B64812" w:rsidRPr="00F65FE1">
        <w:rPr>
          <w:rFonts w:ascii="ITC Stone Serif Std Medium" w:hAnsi="ITC Stone Serif Std Medium" w:cs="Arial"/>
          <w:szCs w:val="24"/>
        </w:rPr>
        <w:t>year basis.</w:t>
      </w:r>
    </w:p>
    <w:p w14:paraId="2DA0E21C" w14:textId="5F7D3082" w:rsidR="001C29EE" w:rsidRDefault="001C29EE" w:rsidP="001C29EE">
      <w:pPr>
        <w:rPr>
          <w:rFonts w:ascii="Arial" w:hAnsi="Arial" w:cs="Arial"/>
          <w:noProof/>
        </w:rPr>
      </w:pPr>
      <w:r>
        <w:rPr>
          <w:rFonts w:ascii="ITC Stone Serif Std Medium" w:hAnsi="ITC Stone Serif Std Medium" w:cs="Arial"/>
          <w:sz w:val="24"/>
          <w:szCs w:val="24"/>
        </w:rPr>
        <w:br w:type="page"/>
      </w:r>
      <w:r w:rsidRPr="00FA4679">
        <w:rPr>
          <w:rFonts w:ascii="Arial" w:hAnsi="Arial" w:cs="Arial"/>
          <w:noProof/>
        </w:rPr>
        <w:drawing>
          <wp:inline distT="0" distB="0" distL="0" distR="0" wp14:anchorId="4DCC1B49" wp14:editId="7A7DE96F">
            <wp:extent cx="5943600" cy="3533775"/>
            <wp:effectExtent l="19050" t="19050" r="19050" b="28575"/>
            <wp:docPr id="766053693" name="Picture 3" descr="A diagram of a company organiz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53693" name="Picture 3" descr="A diagram of a company organiz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37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00F1A66" w14:textId="77777777" w:rsidR="001C29EE" w:rsidRDefault="001C29EE" w:rsidP="001C29EE">
      <w:pPr>
        <w:pStyle w:val="Heading3"/>
        <w:rPr>
          <w:rFonts w:ascii="Arial" w:hAnsi="Arial" w:cs="Arial"/>
          <w:noProof/>
        </w:rPr>
      </w:pPr>
    </w:p>
    <w:p w14:paraId="2E7486CF" w14:textId="378CC809" w:rsidR="001C29EE" w:rsidRDefault="001C29EE" w:rsidP="001C29EE">
      <w:pPr>
        <w:pStyle w:val="Heading3"/>
        <w:rPr>
          <w:rFonts w:ascii="Arial" w:hAnsi="Arial" w:cs="Arial"/>
          <w:noProof/>
        </w:rPr>
      </w:pPr>
      <w:r w:rsidRPr="00FA4679">
        <w:rPr>
          <w:rFonts w:ascii="Arial" w:hAnsi="Arial" w:cs="Arial"/>
          <w:noProof/>
        </w:rPr>
        <w:drawing>
          <wp:inline distT="0" distB="0" distL="0" distR="0" wp14:anchorId="2A3F995C" wp14:editId="4B714C79">
            <wp:extent cx="5943600" cy="3648075"/>
            <wp:effectExtent l="19050" t="19050" r="19050" b="28575"/>
            <wp:docPr id="1169121073" name="Picture 2" descr="A diagram of a company's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21073" name="Picture 2" descr="A diagram of a company's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80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7647F2D" w14:textId="77777777" w:rsidR="001C29EE" w:rsidRDefault="001C29EE" w:rsidP="001C29EE">
      <w:pPr>
        <w:pStyle w:val="Heading3"/>
        <w:rPr>
          <w:rFonts w:ascii="Arial" w:hAnsi="Arial" w:cs="Arial"/>
          <w:noProof/>
        </w:rPr>
      </w:pPr>
    </w:p>
    <w:p w14:paraId="756FC23A" w14:textId="76812312" w:rsidR="001C29EE" w:rsidRPr="005E5B01" w:rsidRDefault="001C29EE" w:rsidP="001C29EE">
      <w:pPr>
        <w:pStyle w:val="Heading3"/>
        <w:rPr>
          <w:rFonts w:ascii="Arial" w:hAnsi="Arial" w:cs="Arial"/>
        </w:rPr>
      </w:pPr>
      <w:r w:rsidRPr="00FA4679">
        <w:rPr>
          <w:rFonts w:ascii="Arial" w:hAnsi="Arial" w:cs="Arial"/>
          <w:noProof/>
        </w:rPr>
        <w:drawing>
          <wp:inline distT="0" distB="0" distL="0" distR="0" wp14:anchorId="64EB3017" wp14:editId="548F8F41">
            <wp:extent cx="5943600" cy="2628900"/>
            <wp:effectExtent l="19050" t="19050" r="19050" b="19050"/>
            <wp:docPr id="1831855172" name="Picture 1" descr="A diagram of a company's financial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855172" name="Picture 1" descr="A diagram of a company's financial struc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89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096A1DB" w14:textId="77777777" w:rsidR="004E6779" w:rsidRPr="00C312F4" w:rsidRDefault="004E6779" w:rsidP="003B2CA7">
      <w:pPr>
        <w:autoSpaceDE w:val="0"/>
        <w:autoSpaceDN w:val="0"/>
        <w:adjustRightInd w:val="0"/>
        <w:spacing w:after="0" w:line="240" w:lineRule="auto"/>
        <w:jc w:val="both"/>
        <w:rPr>
          <w:rFonts w:ascii="ITC Stone Serif Std Medium" w:hAnsi="ITC Stone Serif Std Medium" w:cs="Arial"/>
          <w:sz w:val="24"/>
          <w:szCs w:val="24"/>
        </w:rPr>
      </w:pPr>
    </w:p>
    <w:sectPr w:rsidR="004E6779" w:rsidRPr="00C31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8012" w14:textId="77777777" w:rsidR="00F223DA" w:rsidRDefault="00F223DA" w:rsidP="009A2A36">
      <w:pPr>
        <w:spacing w:after="0" w:line="240" w:lineRule="auto"/>
      </w:pPr>
      <w:r>
        <w:separator/>
      </w:r>
    </w:p>
  </w:endnote>
  <w:endnote w:type="continuationSeparator" w:id="0">
    <w:p w14:paraId="5D5B09CA" w14:textId="77777777" w:rsidR="00F223DA" w:rsidRDefault="00F223DA" w:rsidP="009A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Stone Serif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StoneSans-Semi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42DF" w14:textId="77777777" w:rsidR="00F223DA" w:rsidRDefault="00F223DA" w:rsidP="009A2A36">
      <w:pPr>
        <w:spacing w:after="0" w:line="240" w:lineRule="auto"/>
      </w:pPr>
      <w:r>
        <w:separator/>
      </w:r>
    </w:p>
  </w:footnote>
  <w:footnote w:type="continuationSeparator" w:id="0">
    <w:p w14:paraId="4D4D03CA" w14:textId="77777777" w:rsidR="00F223DA" w:rsidRDefault="00F223DA" w:rsidP="009A2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2FE9"/>
    <w:multiLevelType w:val="hybridMultilevel"/>
    <w:tmpl w:val="5414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60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812"/>
    <w:rsid w:val="00086723"/>
    <w:rsid w:val="000A3464"/>
    <w:rsid w:val="00110F0E"/>
    <w:rsid w:val="00112CB2"/>
    <w:rsid w:val="001C29EE"/>
    <w:rsid w:val="00204B5F"/>
    <w:rsid w:val="002217C2"/>
    <w:rsid w:val="00253D89"/>
    <w:rsid w:val="002A449D"/>
    <w:rsid w:val="002D262E"/>
    <w:rsid w:val="00347799"/>
    <w:rsid w:val="003B2CA7"/>
    <w:rsid w:val="003E0756"/>
    <w:rsid w:val="003E3EA6"/>
    <w:rsid w:val="003F49BD"/>
    <w:rsid w:val="004645ED"/>
    <w:rsid w:val="004A3D25"/>
    <w:rsid w:val="004A5CE9"/>
    <w:rsid w:val="004E6779"/>
    <w:rsid w:val="0050735E"/>
    <w:rsid w:val="005736EF"/>
    <w:rsid w:val="005A4E29"/>
    <w:rsid w:val="005B2B31"/>
    <w:rsid w:val="005E0A3B"/>
    <w:rsid w:val="005E2DAD"/>
    <w:rsid w:val="0065075F"/>
    <w:rsid w:val="006A7548"/>
    <w:rsid w:val="006D3F7E"/>
    <w:rsid w:val="00721434"/>
    <w:rsid w:val="007468B8"/>
    <w:rsid w:val="00794833"/>
    <w:rsid w:val="0081666E"/>
    <w:rsid w:val="0088093D"/>
    <w:rsid w:val="009007BE"/>
    <w:rsid w:val="00963BB7"/>
    <w:rsid w:val="009A2A36"/>
    <w:rsid w:val="009C279E"/>
    <w:rsid w:val="009E7E9A"/>
    <w:rsid w:val="00A50204"/>
    <w:rsid w:val="00B10C23"/>
    <w:rsid w:val="00B3193B"/>
    <w:rsid w:val="00B64812"/>
    <w:rsid w:val="00BB564A"/>
    <w:rsid w:val="00BC486F"/>
    <w:rsid w:val="00BC6564"/>
    <w:rsid w:val="00BE2B99"/>
    <w:rsid w:val="00BF72B7"/>
    <w:rsid w:val="00C0244A"/>
    <w:rsid w:val="00C312F4"/>
    <w:rsid w:val="00C94809"/>
    <w:rsid w:val="00CB314D"/>
    <w:rsid w:val="00CE0117"/>
    <w:rsid w:val="00D1326E"/>
    <w:rsid w:val="00D70564"/>
    <w:rsid w:val="00D83655"/>
    <w:rsid w:val="00E17E39"/>
    <w:rsid w:val="00E21C5E"/>
    <w:rsid w:val="00E52BAE"/>
    <w:rsid w:val="00E965A0"/>
    <w:rsid w:val="00ED36A1"/>
    <w:rsid w:val="00EE5E20"/>
    <w:rsid w:val="00EF7C7C"/>
    <w:rsid w:val="00F223DA"/>
    <w:rsid w:val="00F27626"/>
    <w:rsid w:val="00F6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BFFC"/>
  <w15:docId w15:val="{32A61E5F-7480-4056-A3FC-20AF5C4A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48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mallCaps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481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8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812"/>
    <w:rPr>
      <w:rFonts w:ascii="Times New Roman" w:eastAsia="Times New Roman" w:hAnsi="Times New Roman" w:cs="Times New Roman"/>
      <w:b/>
      <w:smallCaps/>
      <w:sz w:val="2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B6481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81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64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6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A36"/>
  </w:style>
  <w:style w:type="paragraph" w:styleId="Footer">
    <w:name w:val="footer"/>
    <w:basedOn w:val="Normal"/>
    <w:link w:val="FooterChar"/>
    <w:uiPriority w:val="99"/>
    <w:unhideWhenUsed/>
    <w:rsid w:val="009A2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A36"/>
  </w:style>
  <w:style w:type="character" w:styleId="Hyperlink">
    <w:name w:val="Hyperlink"/>
    <w:basedOn w:val="DefaultParagraphFont"/>
    <w:uiPriority w:val="99"/>
    <w:unhideWhenUsed/>
    <w:rsid w:val="00253D8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F7C7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C27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hrs.wsu.edu/wp-content/uploads/2016/03/Exemption-Criteri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1754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Zami</dc:creator>
  <cp:lastModifiedBy>DiNoto, Melissa A</cp:lastModifiedBy>
  <cp:revision>3</cp:revision>
  <cp:lastPrinted>2016-12-02T20:35:00Z</cp:lastPrinted>
  <dcterms:created xsi:type="dcterms:W3CDTF">2025-10-27T21:35:00Z</dcterms:created>
  <dcterms:modified xsi:type="dcterms:W3CDTF">2025-10-27T21:36:00Z</dcterms:modified>
</cp:coreProperties>
</file>