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F823F" w14:textId="01555215" w:rsidR="00794FFD" w:rsidRPr="00D826F6" w:rsidRDefault="00794FFD" w:rsidP="00495592">
      <w:pPr>
        <w:autoSpaceDE w:val="0"/>
        <w:autoSpaceDN w:val="0"/>
        <w:adjustRightInd w:val="0"/>
        <w:spacing w:after="0" w:line="240" w:lineRule="auto"/>
        <w:rPr>
          <w:rFonts w:ascii="ITC Stone Serif Std Medium" w:hAnsi="ITC Stone Serif Std Medium"/>
          <w:sz w:val="20"/>
        </w:rPr>
      </w:pPr>
      <w:r w:rsidRPr="00D826F6">
        <w:rPr>
          <w:rFonts w:ascii="ITC Stone Serif Std Medium" w:hAnsi="ITC Stone Serif Std Medium" w:cs="StoneSans-Semibold"/>
          <w:b/>
          <w:bCs/>
          <w:color w:val="7F7F7F"/>
          <w:szCs w:val="24"/>
        </w:rPr>
        <w:t>ADMINISTRATIVE PROFESSIONAL POSITIONS MUST QUALIFY FOR ONE OF THE</w:t>
      </w:r>
      <w:r w:rsidR="00495592" w:rsidRPr="00D826F6">
        <w:rPr>
          <w:rFonts w:ascii="ITC Stone Serif Std Medium" w:hAnsi="ITC Stone Serif Std Medium" w:cs="StoneSans-Semibold"/>
          <w:b/>
          <w:bCs/>
          <w:color w:val="7F7F7F"/>
          <w:szCs w:val="24"/>
        </w:rPr>
        <w:t xml:space="preserve"> </w:t>
      </w:r>
      <w:hyperlink r:id="rId6" w:history="1">
        <w:r w:rsidR="002874D7" w:rsidRPr="00D826F6">
          <w:rPr>
            <w:rStyle w:val="Hyperlink"/>
            <w:rFonts w:ascii="ITC Stone Serif Std Medium" w:hAnsi="ITC Stone Serif Std Medium" w:cs="StoneSans-Semibold"/>
            <w:b/>
            <w:bCs/>
            <w:szCs w:val="24"/>
          </w:rPr>
          <w:t>EXEMPTION CRITERIA</w:t>
        </w:r>
      </w:hyperlink>
      <w:r w:rsidR="002874D7" w:rsidRPr="00D826F6">
        <w:rPr>
          <w:rFonts w:ascii="ITC Stone Serif Std Medium" w:hAnsi="ITC Stone Serif Std Medium" w:cs="StoneSans-Semibold"/>
          <w:b/>
          <w:bCs/>
          <w:color w:val="0000FF"/>
          <w:szCs w:val="24"/>
        </w:rPr>
        <w:t xml:space="preserve"> </w:t>
      </w:r>
      <w:r w:rsidR="002874D7" w:rsidRPr="00D826F6">
        <w:rPr>
          <w:rFonts w:ascii="ITC Stone Serif Std Medium" w:hAnsi="ITC Stone Serif Std Medium" w:cs="StoneSans-Semibold"/>
          <w:b/>
          <w:bCs/>
          <w:color w:val="808080" w:themeColor="background1" w:themeShade="80"/>
          <w:szCs w:val="24"/>
        </w:rPr>
        <w:t>S</w:t>
      </w:r>
      <w:r w:rsidRPr="00D826F6">
        <w:rPr>
          <w:rFonts w:ascii="ITC Stone Serif Std Medium" w:hAnsi="ITC Stone Serif Std Medium" w:cs="StoneSans-Semibold"/>
          <w:b/>
          <w:bCs/>
          <w:color w:val="808080" w:themeColor="background1" w:themeShade="80"/>
          <w:szCs w:val="24"/>
        </w:rPr>
        <w:t>ET F</w:t>
      </w:r>
      <w:r w:rsidRPr="00D826F6">
        <w:rPr>
          <w:rFonts w:ascii="ITC Stone Serif Std Medium" w:hAnsi="ITC Stone Serif Std Medium" w:cs="StoneSans-Semibold"/>
          <w:b/>
          <w:bCs/>
          <w:color w:val="7F7F7F"/>
          <w:szCs w:val="24"/>
        </w:rPr>
        <w:t>ORTH IN RCW 41.06.070.</w:t>
      </w:r>
    </w:p>
    <w:p w14:paraId="33DBEB0B" w14:textId="3798DBA7" w:rsidR="00794FFD" w:rsidRPr="00D826F6" w:rsidRDefault="00794FFD" w:rsidP="00794FFD">
      <w:pPr>
        <w:pStyle w:val="Heading1"/>
        <w:rPr>
          <w:rFonts w:ascii="ITC Stone Serif Std Medium" w:hAnsi="ITC Stone Serif Std Medium" w:cs="Arial"/>
          <w:sz w:val="22"/>
          <w:szCs w:val="24"/>
        </w:rPr>
      </w:pPr>
    </w:p>
    <w:p w14:paraId="16D4D1BA" w14:textId="77777777" w:rsidR="00794FFD" w:rsidRPr="00D826F6" w:rsidRDefault="00794FFD" w:rsidP="00B64812">
      <w:pPr>
        <w:pStyle w:val="Heading1"/>
        <w:jc w:val="center"/>
        <w:rPr>
          <w:rFonts w:ascii="ITC Stone Serif Std Medium" w:hAnsi="ITC Stone Serif Std Medium" w:cs="Arial"/>
          <w:sz w:val="22"/>
          <w:szCs w:val="24"/>
        </w:rPr>
      </w:pPr>
    </w:p>
    <w:p w14:paraId="4447D9CE" w14:textId="77777777" w:rsidR="00F559E3" w:rsidRPr="00D826F6" w:rsidRDefault="00F559E3" w:rsidP="00F559E3">
      <w:pPr>
        <w:pStyle w:val="NoSpacing"/>
        <w:jc w:val="center"/>
        <w:rPr>
          <w:rFonts w:ascii="ITC Stone Serif Std Medium" w:hAnsi="ITC Stone Serif Std Medium"/>
          <w:b/>
          <w:szCs w:val="24"/>
        </w:rPr>
      </w:pPr>
      <w:r w:rsidRPr="00D826F6">
        <w:rPr>
          <w:rFonts w:ascii="ITC Stone Serif Std Medium" w:hAnsi="ITC Stone Serif Std Medium"/>
          <w:b/>
          <w:szCs w:val="24"/>
        </w:rPr>
        <w:t>ADMINISTRATIVE PROFESSIONAL</w:t>
      </w:r>
    </w:p>
    <w:p w14:paraId="137B92C6" w14:textId="77777777" w:rsidR="00F559E3" w:rsidRPr="00D826F6" w:rsidRDefault="00F559E3" w:rsidP="00F559E3">
      <w:pPr>
        <w:pStyle w:val="NoSpacing"/>
        <w:jc w:val="center"/>
        <w:rPr>
          <w:rFonts w:ascii="ITC Stone Serif Std Medium" w:hAnsi="ITC Stone Serif Std Medium"/>
          <w:b/>
          <w:szCs w:val="24"/>
        </w:rPr>
      </w:pPr>
      <w:r w:rsidRPr="00D826F6">
        <w:rPr>
          <w:rFonts w:ascii="ITC Stone Serif Std Medium" w:hAnsi="ITC Stone Serif Std Medium"/>
          <w:b/>
          <w:szCs w:val="24"/>
        </w:rPr>
        <w:t>Benchmark Job Class</w:t>
      </w:r>
    </w:p>
    <w:p w14:paraId="10616339" w14:textId="4FEA4B7C" w:rsidR="00B64812" w:rsidRPr="00D826F6" w:rsidRDefault="00F559E3" w:rsidP="00F559E3">
      <w:pPr>
        <w:pStyle w:val="NoSpacing"/>
        <w:jc w:val="center"/>
        <w:rPr>
          <w:rFonts w:ascii="ITC Stone Serif Std Medium" w:hAnsi="ITC Stone Serif Std Medium" w:cs="Arial"/>
          <w:szCs w:val="24"/>
        </w:rPr>
      </w:pPr>
      <w:r w:rsidRPr="00D826F6">
        <w:rPr>
          <w:rFonts w:ascii="ITC Stone Serif Std Medium" w:hAnsi="ITC Stone Serif Std Medium"/>
          <w:b/>
          <w:szCs w:val="24"/>
        </w:rPr>
        <w:t xml:space="preserve">Academic Coordinator/Advisor </w:t>
      </w:r>
      <w:r w:rsidR="00A203D7" w:rsidRPr="00D826F6">
        <w:rPr>
          <w:rFonts w:ascii="ITC Stone Serif Std Medium" w:hAnsi="ITC Stone Serif Std Medium" w:cs="Arial"/>
          <w:b/>
          <w:szCs w:val="24"/>
        </w:rPr>
        <w:t>2</w:t>
      </w:r>
      <w:r w:rsidRPr="00D826F6">
        <w:rPr>
          <w:rFonts w:ascii="ITC Stone Serif Std Medium" w:hAnsi="ITC Stone Serif Std Medium" w:cs="Arial"/>
          <w:b/>
          <w:szCs w:val="24"/>
        </w:rPr>
        <w:t>/</w:t>
      </w:r>
      <w:r w:rsidR="00482BD7" w:rsidRPr="00D826F6">
        <w:rPr>
          <w:rFonts w:ascii="ITC Stone Serif Std Medium" w:hAnsi="ITC Stone Serif Std Medium" w:cs="Arial"/>
          <w:b/>
          <w:szCs w:val="24"/>
        </w:rPr>
        <w:t>1485</w:t>
      </w:r>
    </w:p>
    <w:p w14:paraId="03284958" w14:textId="77777777" w:rsidR="00B64812" w:rsidRPr="00D826F6" w:rsidRDefault="00B64812" w:rsidP="00B64812">
      <w:pPr>
        <w:rPr>
          <w:rFonts w:ascii="ITC Stone Serif Std Medium" w:hAnsi="ITC Stone Serif Std Medium" w:cs="Arial"/>
          <w:szCs w:val="24"/>
        </w:rPr>
      </w:pPr>
    </w:p>
    <w:p w14:paraId="3B925AF5" w14:textId="77777777" w:rsidR="00B64812" w:rsidRPr="00D826F6" w:rsidRDefault="00B64812" w:rsidP="00495592">
      <w:pPr>
        <w:jc w:val="both"/>
        <w:rPr>
          <w:rFonts w:ascii="ITC Stone Serif Std Medium" w:hAnsi="ITC Stone Serif Std Medium" w:cs="Arial"/>
          <w:szCs w:val="24"/>
        </w:rPr>
      </w:pPr>
    </w:p>
    <w:p w14:paraId="4BD35724" w14:textId="77777777" w:rsidR="00794FFD" w:rsidRPr="00D826F6" w:rsidRDefault="00794FFD" w:rsidP="00495592">
      <w:pPr>
        <w:autoSpaceDE w:val="0"/>
        <w:autoSpaceDN w:val="0"/>
        <w:adjustRightInd w:val="0"/>
        <w:spacing w:after="0" w:line="240" w:lineRule="auto"/>
        <w:jc w:val="both"/>
        <w:rPr>
          <w:rFonts w:ascii="ITC Stone Serif Std Medium" w:hAnsi="ITC Stone Serif Std Medium" w:cs="Arial"/>
          <w:szCs w:val="24"/>
        </w:rPr>
      </w:pPr>
      <w:r w:rsidRPr="00D826F6">
        <w:rPr>
          <w:rFonts w:ascii="ITC Stone Serif Std Medium" w:hAnsi="ITC Stone Serif Std Medium" w:cs="StoneSans-Semibold"/>
          <w:b/>
          <w:bCs/>
          <w:szCs w:val="24"/>
          <w:u w:val="single"/>
        </w:rPr>
        <w:t>Function and General Scope</w:t>
      </w:r>
      <w:r w:rsidRPr="00D826F6">
        <w:rPr>
          <w:rFonts w:ascii="ITC Stone Serif Std Medium" w:hAnsi="ITC Stone Serif Std Medium" w:cs="Arial"/>
          <w:szCs w:val="24"/>
        </w:rPr>
        <w:t xml:space="preserve"> </w:t>
      </w:r>
    </w:p>
    <w:p w14:paraId="453BDE1C" w14:textId="61B6E4B3" w:rsidR="00291B8D" w:rsidRPr="00291B8D" w:rsidRDefault="00291B8D" w:rsidP="00291B8D">
      <w:pPr>
        <w:autoSpaceDE w:val="0"/>
        <w:autoSpaceDN w:val="0"/>
        <w:adjustRightInd w:val="0"/>
        <w:spacing w:after="0" w:line="240" w:lineRule="auto"/>
        <w:jc w:val="both"/>
        <w:rPr>
          <w:rFonts w:ascii="ITC Stone Serif Std Medium" w:hAnsi="ITC Stone Serif Std Medium" w:cs="Arial"/>
          <w:szCs w:val="24"/>
        </w:rPr>
      </w:pPr>
      <w:r w:rsidRPr="00291B8D">
        <w:rPr>
          <w:rFonts w:ascii="ITC Stone Serif Std Medium" w:hAnsi="ITC Stone Serif Std Medium" w:cs="Arial"/>
          <w:szCs w:val="24"/>
        </w:rPr>
        <w:t>Positions assigned to this class are responsible for performing advanced level professional academic advisement or related activities for prospective and current students within a specified academic department, school, or college or equivalent unit of a college. Advisor 2 is expected to possess extensive knowledge about academic programs, policies, procedures, and student support services. Positions may lead, train, and mentor junior advisors.</w:t>
      </w:r>
    </w:p>
    <w:p w14:paraId="24C4A20E" w14:textId="77777777" w:rsidR="00291B8D" w:rsidRPr="00291B8D" w:rsidRDefault="00291B8D" w:rsidP="00291B8D">
      <w:pPr>
        <w:autoSpaceDE w:val="0"/>
        <w:autoSpaceDN w:val="0"/>
        <w:adjustRightInd w:val="0"/>
        <w:spacing w:after="0" w:line="240" w:lineRule="auto"/>
        <w:jc w:val="both"/>
        <w:rPr>
          <w:rFonts w:ascii="ITC Stone Serif Std Medium" w:hAnsi="ITC Stone Serif Std Medium" w:cs="Arial"/>
          <w:szCs w:val="24"/>
        </w:rPr>
      </w:pPr>
    </w:p>
    <w:p w14:paraId="2689AA4F" w14:textId="77777777" w:rsidR="00291B8D" w:rsidRPr="00291B8D" w:rsidRDefault="00291B8D" w:rsidP="00291B8D">
      <w:pPr>
        <w:autoSpaceDE w:val="0"/>
        <w:autoSpaceDN w:val="0"/>
        <w:adjustRightInd w:val="0"/>
        <w:spacing w:after="0" w:line="240" w:lineRule="auto"/>
        <w:jc w:val="both"/>
        <w:rPr>
          <w:rFonts w:ascii="ITC Stone Serif Std Medium" w:hAnsi="ITC Stone Serif Std Medium" w:cs="Arial"/>
          <w:szCs w:val="24"/>
        </w:rPr>
      </w:pPr>
      <w:proofErr w:type="gramStart"/>
      <w:r w:rsidRPr="00291B8D">
        <w:rPr>
          <w:rFonts w:ascii="ITC Stone Serif Std Medium" w:hAnsi="ITC Stone Serif Std Medium" w:cs="Arial"/>
          <w:szCs w:val="24"/>
        </w:rPr>
        <w:t>The majority of</w:t>
      </w:r>
      <w:proofErr w:type="gramEnd"/>
      <w:r w:rsidRPr="00291B8D">
        <w:rPr>
          <w:rFonts w:ascii="ITC Stone Serif Std Medium" w:hAnsi="ITC Stone Serif Std Medium" w:cs="Arial"/>
          <w:szCs w:val="24"/>
        </w:rPr>
        <w:t xml:space="preserve"> the responsibilities will include duties </w:t>
      </w:r>
      <w:proofErr w:type="gramStart"/>
      <w:r w:rsidRPr="00291B8D">
        <w:rPr>
          <w:rFonts w:ascii="ITC Stone Serif Std Medium" w:hAnsi="ITC Stone Serif Std Medium" w:cs="Arial"/>
          <w:szCs w:val="24"/>
        </w:rPr>
        <w:t>such as, but</w:t>
      </w:r>
      <w:proofErr w:type="gramEnd"/>
      <w:r w:rsidRPr="00291B8D">
        <w:rPr>
          <w:rFonts w:ascii="ITC Stone Serif Std Medium" w:hAnsi="ITC Stone Serif Std Medium" w:cs="Arial"/>
          <w:szCs w:val="24"/>
        </w:rPr>
        <w:t xml:space="preserve"> are not limited to performing </w:t>
      </w:r>
      <w:proofErr w:type="gramStart"/>
      <w:r w:rsidRPr="00291B8D">
        <w:rPr>
          <w:rFonts w:ascii="ITC Stone Serif Std Medium" w:hAnsi="ITC Stone Serif Std Medium" w:cs="Arial"/>
          <w:szCs w:val="24"/>
        </w:rPr>
        <w:t>advanced-level</w:t>
      </w:r>
      <w:proofErr w:type="gramEnd"/>
      <w:r w:rsidRPr="00291B8D">
        <w:rPr>
          <w:rFonts w:ascii="ITC Stone Serif Std Medium" w:hAnsi="ITC Stone Serif Std Medium" w:cs="Arial"/>
          <w:szCs w:val="24"/>
        </w:rPr>
        <w:t xml:space="preserve"> advising for students, with limited supervision, in the areas of academic planning, interpretation of department, school, college and university requirements, degree requirements, career exploration and other matters, and </w:t>
      </w:r>
      <w:proofErr w:type="gramStart"/>
      <w:r w:rsidRPr="00291B8D">
        <w:rPr>
          <w:rFonts w:ascii="ITC Stone Serif Std Medium" w:hAnsi="ITC Stone Serif Std Medium" w:cs="Arial"/>
          <w:szCs w:val="24"/>
        </w:rPr>
        <w:t>provide assistance</w:t>
      </w:r>
      <w:proofErr w:type="gramEnd"/>
      <w:r w:rsidRPr="00291B8D">
        <w:rPr>
          <w:rFonts w:ascii="ITC Stone Serif Std Medium" w:hAnsi="ITC Stone Serif Std Medium" w:cs="Arial"/>
          <w:szCs w:val="24"/>
        </w:rPr>
        <w:t xml:space="preserve"> in developing unit policies procedures and methodologies.</w:t>
      </w:r>
    </w:p>
    <w:p w14:paraId="0A576D86" w14:textId="77777777" w:rsidR="00291B8D" w:rsidRPr="00291B8D" w:rsidRDefault="00291B8D" w:rsidP="00291B8D">
      <w:pPr>
        <w:autoSpaceDE w:val="0"/>
        <w:autoSpaceDN w:val="0"/>
        <w:adjustRightInd w:val="0"/>
        <w:spacing w:after="0" w:line="240" w:lineRule="auto"/>
        <w:jc w:val="both"/>
        <w:rPr>
          <w:rFonts w:ascii="ITC Stone Serif Std Medium" w:hAnsi="ITC Stone Serif Std Medium" w:cs="Arial"/>
          <w:szCs w:val="24"/>
        </w:rPr>
      </w:pPr>
    </w:p>
    <w:p w14:paraId="57115278" w14:textId="77777777" w:rsidR="00291B8D" w:rsidRPr="00291B8D" w:rsidRDefault="00291B8D" w:rsidP="00291B8D">
      <w:pPr>
        <w:autoSpaceDE w:val="0"/>
        <w:autoSpaceDN w:val="0"/>
        <w:adjustRightInd w:val="0"/>
        <w:spacing w:after="0" w:line="240" w:lineRule="auto"/>
        <w:jc w:val="both"/>
        <w:rPr>
          <w:rFonts w:ascii="ITC Stone Serif Std Medium" w:hAnsi="ITC Stone Serif Std Medium" w:cs="Arial"/>
          <w:szCs w:val="24"/>
        </w:rPr>
      </w:pPr>
      <w:r w:rsidRPr="00291B8D">
        <w:rPr>
          <w:rFonts w:ascii="ITC Stone Serif Std Medium" w:hAnsi="ITC Stone Serif Std Medium" w:cs="Arial"/>
          <w:szCs w:val="24"/>
        </w:rPr>
        <w:t xml:space="preserve">Positions may collaborate and assist with university policies and procedures; develop and/or oversee the development of and participate in student workshops, professional development/training/mentoring, and student recruitment activities. May coordinate processes including certification, transfer credit evaluation, student success programs, etc. May </w:t>
      </w:r>
      <w:proofErr w:type="gramStart"/>
      <w:r w:rsidRPr="00291B8D">
        <w:rPr>
          <w:rFonts w:ascii="ITC Stone Serif Std Medium" w:hAnsi="ITC Stone Serif Std Medium" w:cs="Arial"/>
          <w:szCs w:val="24"/>
        </w:rPr>
        <w:t>lead</w:t>
      </w:r>
      <w:proofErr w:type="gramEnd"/>
      <w:r w:rsidRPr="00291B8D">
        <w:rPr>
          <w:rFonts w:ascii="ITC Stone Serif Std Medium" w:hAnsi="ITC Stone Serif Std Medium" w:cs="Arial"/>
          <w:szCs w:val="24"/>
        </w:rPr>
        <w:t>, supervise, or provide guidance to paraprofessional, technical, and support staff.</w:t>
      </w:r>
    </w:p>
    <w:p w14:paraId="4E95A68D" w14:textId="77777777" w:rsidR="00291B8D" w:rsidRPr="00291B8D" w:rsidRDefault="00291B8D" w:rsidP="00291B8D">
      <w:pPr>
        <w:autoSpaceDE w:val="0"/>
        <w:autoSpaceDN w:val="0"/>
        <w:adjustRightInd w:val="0"/>
        <w:spacing w:after="0" w:line="240" w:lineRule="auto"/>
        <w:jc w:val="both"/>
        <w:rPr>
          <w:rFonts w:ascii="ITC Stone Serif Std Medium" w:hAnsi="ITC Stone Serif Std Medium" w:cs="Arial"/>
          <w:szCs w:val="24"/>
        </w:rPr>
      </w:pPr>
    </w:p>
    <w:p w14:paraId="39834AB3" w14:textId="5E234AB5" w:rsidR="00794FFD" w:rsidRDefault="00291B8D" w:rsidP="00291B8D">
      <w:pPr>
        <w:autoSpaceDE w:val="0"/>
        <w:autoSpaceDN w:val="0"/>
        <w:adjustRightInd w:val="0"/>
        <w:spacing w:after="0" w:line="240" w:lineRule="auto"/>
        <w:jc w:val="both"/>
        <w:rPr>
          <w:rFonts w:ascii="ITC Stone Serif Std Medium" w:hAnsi="ITC Stone Serif Std Medium" w:cs="Arial"/>
          <w:szCs w:val="24"/>
        </w:rPr>
      </w:pPr>
      <w:r w:rsidRPr="00291B8D">
        <w:rPr>
          <w:rFonts w:ascii="ITC Stone Serif Std Medium" w:hAnsi="ITC Stone Serif Std Medium" w:cs="Arial"/>
          <w:szCs w:val="24"/>
        </w:rPr>
        <w:t>University standard caseload of up to 250 students. Total advisee caseload may fluctuate based on unit/area needs and structure in consultation with the Provosts Office.</w:t>
      </w:r>
    </w:p>
    <w:p w14:paraId="1976D409" w14:textId="77777777" w:rsidR="00291B8D" w:rsidRPr="00D826F6" w:rsidRDefault="00291B8D" w:rsidP="00291B8D">
      <w:pPr>
        <w:autoSpaceDE w:val="0"/>
        <w:autoSpaceDN w:val="0"/>
        <w:adjustRightInd w:val="0"/>
        <w:spacing w:after="0" w:line="240" w:lineRule="auto"/>
        <w:jc w:val="both"/>
        <w:rPr>
          <w:rFonts w:ascii="ITC Stone Serif Std Medium" w:hAnsi="ITC Stone Serif Std Medium" w:cs="Arial"/>
          <w:szCs w:val="24"/>
        </w:rPr>
      </w:pPr>
    </w:p>
    <w:p w14:paraId="37AEF9A5" w14:textId="77777777" w:rsidR="00794FFD" w:rsidRPr="00D826F6" w:rsidRDefault="00794FFD" w:rsidP="00495592">
      <w:pPr>
        <w:autoSpaceDE w:val="0"/>
        <w:autoSpaceDN w:val="0"/>
        <w:adjustRightInd w:val="0"/>
        <w:spacing w:after="0" w:line="240" w:lineRule="auto"/>
        <w:jc w:val="both"/>
        <w:rPr>
          <w:rFonts w:ascii="ITC Stone Serif Std Medium" w:eastAsia="Times New Roman" w:hAnsi="ITC Stone Serif Std Medium" w:cs="Arial"/>
          <w:b/>
          <w:szCs w:val="24"/>
          <w:u w:val="single"/>
        </w:rPr>
      </w:pPr>
      <w:r w:rsidRPr="00D826F6">
        <w:rPr>
          <w:rFonts w:ascii="ITC Stone Serif Std Medium" w:eastAsia="Times New Roman" w:hAnsi="ITC Stone Serif Std Medium" w:cs="Arial"/>
          <w:b/>
          <w:szCs w:val="24"/>
          <w:u w:val="single"/>
        </w:rPr>
        <w:t>Classification Requirements (Minimum Qualifications)</w:t>
      </w:r>
    </w:p>
    <w:p w14:paraId="3AC25F5F" w14:textId="77777777" w:rsidR="00291B8D" w:rsidRPr="00291B8D" w:rsidRDefault="00291B8D" w:rsidP="00291B8D">
      <w:pPr>
        <w:rPr>
          <w:rFonts w:ascii="ITC Stone Serif Std Medium" w:hAnsi="ITC Stone Serif Std Medium" w:cs="Arial"/>
          <w:szCs w:val="24"/>
        </w:rPr>
      </w:pPr>
      <w:r w:rsidRPr="00291B8D">
        <w:rPr>
          <w:rFonts w:ascii="ITC Stone Serif Std Medium" w:hAnsi="ITC Stone Serif Std Medium" w:cs="Arial"/>
          <w:szCs w:val="24"/>
        </w:rPr>
        <w:t xml:space="preserve">Bachelor’s degree and three (3) years academic advising or related experience. A </w:t>
      </w:r>
      <w:proofErr w:type="gramStart"/>
      <w:r w:rsidRPr="00291B8D">
        <w:rPr>
          <w:rFonts w:ascii="ITC Stone Serif Std Medium" w:hAnsi="ITC Stone Serif Std Medium" w:cs="Arial"/>
          <w:szCs w:val="24"/>
        </w:rPr>
        <w:t>Master’s</w:t>
      </w:r>
      <w:proofErr w:type="gramEnd"/>
      <w:r w:rsidRPr="00291B8D">
        <w:rPr>
          <w:rFonts w:ascii="ITC Stone Serif Std Medium" w:hAnsi="ITC Stone Serif Std Medium" w:cs="Arial"/>
          <w:szCs w:val="24"/>
        </w:rPr>
        <w:t xml:space="preserve"> degree in a related field may substitute for one (1) year of professional work experience. Any combination of relevant education and professional academic advising experience may be substituted for the educational requirement on a year‐for‐year basis. Positions who will lead </w:t>
      </w:r>
      <w:proofErr w:type="gramStart"/>
      <w:r w:rsidRPr="00291B8D">
        <w:rPr>
          <w:rFonts w:ascii="ITC Stone Serif Std Medium" w:hAnsi="ITC Stone Serif Std Medium" w:cs="Arial"/>
          <w:szCs w:val="24"/>
        </w:rPr>
        <w:t>or</w:t>
      </w:r>
      <w:proofErr w:type="gramEnd"/>
      <w:r w:rsidRPr="00291B8D">
        <w:rPr>
          <w:rFonts w:ascii="ITC Stone Serif Std Medium" w:hAnsi="ITC Stone Serif Std Medium" w:cs="Arial"/>
          <w:szCs w:val="24"/>
        </w:rPr>
        <w:t xml:space="preserve"> supervisor will require one or more years of full-time experience leading or directing the work of others.</w:t>
      </w:r>
    </w:p>
    <w:p w14:paraId="7A00E560" w14:textId="77777777" w:rsidR="00291B8D" w:rsidRPr="00291B8D" w:rsidRDefault="00291B8D" w:rsidP="00291B8D">
      <w:pPr>
        <w:rPr>
          <w:rFonts w:ascii="ITC Stone Serif Std Medium" w:hAnsi="ITC Stone Serif Std Medium" w:cs="Arial"/>
          <w:szCs w:val="24"/>
        </w:rPr>
      </w:pPr>
      <w:r w:rsidRPr="00291B8D">
        <w:rPr>
          <w:rFonts w:ascii="ITC Stone Serif Std Medium" w:hAnsi="ITC Stone Serif Std Medium" w:cs="Arial"/>
          <w:szCs w:val="24"/>
        </w:rPr>
        <w:t>Knowledge of advising and counseling techniques, with the ability to build trust and provide safe, supportive opportunities for students, from varied backgrounds, including, but not limited to, underrepresented, first generation, and/or high needs, to identify and pursue paths to graduation that support their educational goals and post-graduation plans.</w:t>
      </w:r>
    </w:p>
    <w:p w14:paraId="25823F0F" w14:textId="762E34DE" w:rsidR="00291B8D" w:rsidRDefault="00291B8D" w:rsidP="00794FFD">
      <w:pPr>
        <w:rPr>
          <w:rFonts w:ascii="ITC Stone Serif Std Medium" w:hAnsi="ITC Stone Serif Std Medium" w:cs="Arial"/>
          <w:sz w:val="24"/>
          <w:szCs w:val="24"/>
        </w:rPr>
      </w:pPr>
      <w:r w:rsidRPr="00291B8D">
        <w:rPr>
          <w:rFonts w:ascii="ITC Stone Serif Std Medium" w:hAnsi="ITC Stone Serif Std Medium" w:cs="Arial"/>
          <w:szCs w:val="24"/>
        </w:rPr>
        <w:t>Demonstrated ability to effectively and respectfully interact with students, faculty, and staff of diverse social, cultural, economic, and educational backgrounds, and an understanding of the institutional barriers and equity gaps faced by historically under-served student populations in higher education.</w:t>
      </w:r>
    </w:p>
    <w:p w14:paraId="46048692" w14:textId="1AC088CB" w:rsidR="00291B8D" w:rsidRDefault="00291B8D" w:rsidP="00291B8D">
      <w:pPr>
        <w:pStyle w:val="Heading3"/>
        <w:rPr>
          <w:rFonts w:ascii="Arial" w:hAnsi="Arial" w:cs="Arial"/>
          <w:noProof/>
        </w:rPr>
      </w:pPr>
      <w:r>
        <w:rPr>
          <w:rFonts w:ascii="Arial" w:hAnsi="Arial" w:cs="Arial"/>
        </w:rPr>
        <w:br w:type="page"/>
      </w:r>
      <w:r w:rsidRPr="00FA4679">
        <w:rPr>
          <w:rFonts w:ascii="Arial" w:hAnsi="Arial" w:cs="Arial"/>
          <w:noProof/>
        </w:rPr>
        <w:drawing>
          <wp:inline distT="0" distB="0" distL="0" distR="0" wp14:anchorId="6EBEB5E3" wp14:editId="01815E21">
            <wp:extent cx="5943600" cy="3533775"/>
            <wp:effectExtent l="19050" t="19050" r="19050" b="28575"/>
            <wp:docPr id="2048934463" name="Picture 3" descr="A diagram of a company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34463" name="Picture 3" descr="A diagram of a company organizatio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33775"/>
                    </a:xfrm>
                    <a:prstGeom prst="rect">
                      <a:avLst/>
                    </a:prstGeom>
                    <a:noFill/>
                    <a:ln w="9525" cmpd="sng">
                      <a:solidFill>
                        <a:srgbClr val="000000"/>
                      </a:solidFill>
                      <a:miter lim="800000"/>
                      <a:headEnd/>
                      <a:tailEnd/>
                    </a:ln>
                    <a:effectLst/>
                  </pic:spPr>
                </pic:pic>
              </a:graphicData>
            </a:graphic>
          </wp:inline>
        </w:drawing>
      </w:r>
    </w:p>
    <w:p w14:paraId="36AB5AA5" w14:textId="77777777" w:rsidR="00291B8D" w:rsidRDefault="00291B8D" w:rsidP="00291B8D">
      <w:pPr>
        <w:pStyle w:val="Heading3"/>
        <w:rPr>
          <w:rFonts w:ascii="Arial" w:hAnsi="Arial" w:cs="Arial"/>
          <w:noProof/>
        </w:rPr>
      </w:pPr>
    </w:p>
    <w:p w14:paraId="66C129FB" w14:textId="50BFFCEA" w:rsidR="00291B8D" w:rsidRDefault="00291B8D" w:rsidP="00291B8D">
      <w:pPr>
        <w:pStyle w:val="Heading3"/>
        <w:rPr>
          <w:rFonts w:ascii="Arial" w:hAnsi="Arial" w:cs="Arial"/>
          <w:noProof/>
        </w:rPr>
      </w:pPr>
      <w:r w:rsidRPr="00FA4679">
        <w:rPr>
          <w:rFonts w:ascii="Arial" w:hAnsi="Arial" w:cs="Arial"/>
          <w:noProof/>
        </w:rPr>
        <w:drawing>
          <wp:inline distT="0" distB="0" distL="0" distR="0" wp14:anchorId="2554C5F8" wp14:editId="5B04C0BF">
            <wp:extent cx="5943600" cy="3648075"/>
            <wp:effectExtent l="19050" t="19050" r="19050" b="28575"/>
            <wp:docPr id="515679675" name="Picture 2" descr="A diagram of a company's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679675" name="Picture 2" descr="A diagram of a company's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648075"/>
                    </a:xfrm>
                    <a:prstGeom prst="rect">
                      <a:avLst/>
                    </a:prstGeom>
                    <a:noFill/>
                    <a:ln w="9525" cmpd="sng">
                      <a:solidFill>
                        <a:srgbClr val="000000"/>
                      </a:solidFill>
                      <a:miter lim="800000"/>
                      <a:headEnd/>
                      <a:tailEnd/>
                    </a:ln>
                    <a:effectLst/>
                  </pic:spPr>
                </pic:pic>
              </a:graphicData>
            </a:graphic>
          </wp:inline>
        </w:drawing>
      </w:r>
    </w:p>
    <w:p w14:paraId="1B746B4F" w14:textId="77777777" w:rsidR="00291B8D" w:rsidRDefault="00291B8D" w:rsidP="00291B8D">
      <w:pPr>
        <w:pStyle w:val="Heading3"/>
        <w:rPr>
          <w:rFonts w:ascii="Arial" w:hAnsi="Arial" w:cs="Arial"/>
          <w:noProof/>
        </w:rPr>
      </w:pPr>
    </w:p>
    <w:p w14:paraId="5C458978" w14:textId="407DF8C1" w:rsidR="00291B8D" w:rsidRPr="005E5B01" w:rsidRDefault="00291B8D" w:rsidP="00291B8D">
      <w:pPr>
        <w:pStyle w:val="Heading3"/>
        <w:rPr>
          <w:rFonts w:ascii="Arial" w:hAnsi="Arial" w:cs="Arial"/>
        </w:rPr>
      </w:pPr>
      <w:r w:rsidRPr="00FA4679">
        <w:rPr>
          <w:rFonts w:ascii="Arial" w:hAnsi="Arial" w:cs="Arial"/>
          <w:noProof/>
        </w:rPr>
        <w:drawing>
          <wp:inline distT="0" distB="0" distL="0" distR="0" wp14:anchorId="403B825A" wp14:editId="674C9F1F">
            <wp:extent cx="5943600" cy="2628900"/>
            <wp:effectExtent l="19050" t="19050" r="19050" b="19050"/>
            <wp:docPr id="1999030373" name="Picture 1" descr="A diagram of a company's financial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030373" name="Picture 1" descr="A diagram of a company's financial structu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628900"/>
                    </a:xfrm>
                    <a:prstGeom prst="rect">
                      <a:avLst/>
                    </a:prstGeom>
                    <a:noFill/>
                    <a:ln w="9525" cmpd="sng">
                      <a:solidFill>
                        <a:srgbClr val="000000"/>
                      </a:solidFill>
                      <a:miter lim="800000"/>
                      <a:headEnd/>
                      <a:tailEnd/>
                    </a:ln>
                    <a:effectLst/>
                  </pic:spPr>
                </pic:pic>
              </a:graphicData>
            </a:graphic>
          </wp:inline>
        </w:drawing>
      </w:r>
    </w:p>
    <w:p w14:paraId="481F2AEE" w14:textId="77777777" w:rsidR="00291B8D" w:rsidRPr="00495592" w:rsidRDefault="00291B8D" w:rsidP="00794FFD">
      <w:pPr>
        <w:rPr>
          <w:rFonts w:ascii="ITC Stone Serif Std Medium" w:hAnsi="ITC Stone Serif Std Medium" w:cs="Arial"/>
          <w:sz w:val="24"/>
          <w:szCs w:val="24"/>
        </w:rPr>
      </w:pPr>
    </w:p>
    <w:sectPr w:rsidR="00291B8D" w:rsidRPr="004955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13C4" w14:textId="77777777" w:rsidR="002956FB" w:rsidRDefault="002956FB" w:rsidP="00482BD7">
      <w:pPr>
        <w:spacing w:after="0" w:line="240" w:lineRule="auto"/>
      </w:pPr>
      <w:r>
        <w:separator/>
      </w:r>
    </w:p>
  </w:endnote>
  <w:endnote w:type="continuationSeparator" w:id="0">
    <w:p w14:paraId="3AD4BA54" w14:textId="77777777" w:rsidR="002956FB" w:rsidRDefault="002956FB" w:rsidP="00482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erif Std Medium">
    <w:altName w:val="Cambria"/>
    <w:panose1 w:val="00000000000000000000"/>
    <w:charset w:val="00"/>
    <w:family w:val="roman"/>
    <w:notTrueType/>
    <w:pitch w:val="variable"/>
    <w:sig w:usb0="800000AF" w:usb1="4000204A" w:usb2="00000000" w:usb3="00000000" w:csb0="00000001" w:csb1="00000000"/>
  </w:font>
  <w:font w:name="StoneSans-Semi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A0F98" w14:textId="77777777" w:rsidR="002956FB" w:rsidRDefault="002956FB" w:rsidP="00482BD7">
      <w:pPr>
        <w:spacing w:after="0" w:line="240" w:lineRule="auto"/>
      </w:pPr>
      <w:r>
        <w:separator/>
      </w:r>
    </w:p>
  </w:footnote>
  <w:footnote w:type="continuationSeparator" w:id="0">
    <w:p w14:paraId="30298093" w14:textId="77777777" w:rsidR="002956FB" w:rsidRDefault="002956FB" w:rsidP="00482B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12"/>
    <w:rsid w:val="00043538"/>
    <w:rsid w:val="000819FA"/>
    <w:rsid w:val="001132D1"/>
    <w:rsid w:val="001A3E3F"/>
    <w:rsid w:val="001F3ACC"/>
    <w:rsid w:val="001F4595"/>
    <w:rsid w:val="00244838"/>
    <w:rsid w:val="002551AC"/>
    <w:rsid w:val="002874D7"/>
    <w:rsid w:val="00291B8D"/>
    <w:rsid w:val="002956FB"/>
    <w:rsid w:val="002E036A"/>
    <w:rsid w:val="002E0CF9"/>
    <w:rsid w:val="0031123C"/>
    <w:rsid w:val="003119DC"/>
    <w:rsid w:val="00353624"/>
    <w:rsid w:val="00367AA4"/>
    <w:rsid w:val="00482BD7"/>
    <w:rsid w:val="00495592"/>
    <w:rsid w:val="00554924"/>
    <w:rsid w:val="0057742B"/>
    <w:rsid w:val="005B0A7B"/>
    <w:rsid w:val="005C0CD9"/>
    <w:rsid w:val="00641008"/>
    <w:rsid w:val="006A1210"/>
    <w:rsid w:val="006A4CD8"/>
    <w:rsid w:val="007033EF"/>
    <w:rsid w:val="00772B9E"/>
    <w:rsid w:val="00785B1A"/>
    <w:rsid w:val="00794FFD"/>
    <w:rsid w:val="007C4FAC"/>
    <w:rsid w:val="0085547B"/>
    <w:rsid w:val="008753BD"/>
    <w:rsid w:val="008801B6"/>
    <w:rsid w:val="008E112A"/>
    <w:rsid w:val="009007BE"/>
    <w:rsid w:val="00963BB7"/>
    <w:rsid w:val="009C76E2"/>
    <w:rsid w:val="00A203D7"/>
    <w:rsid w:val="00A20CFB"/>
    <w:rsid w:val="00A2178F"/>
    <w:rsid w:val="00A27895"/>
    <w:rsid w:val="00AF17D0"/>
    <w:rsid w:val="00B64812"/>
    <w:rsid w:val="00C065DB"/>
    <w:rsid w:val="00CB6A84"/>
    <w:rsid w:val="00D64A7B"/>
    <w:rsid w:val="00D7262A"/>
    <w:rsid w:val="00D826F6"/>
    <w:rsid w:val="00D87910"/>
    <w:rsid w:val="00E244AA"/>
    <w:rsid w:val="00E27B3A"/>
    <w:rsid w:val="00E6047A"/>
    <w:rsid w:val="00EB145F"/>
    <w:rsid w:val="00EB1793"/>
    <w:rsid w:val="00F40E9B"/>
    <w:rsid w:val="00F5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BFFC"/>
  <w15:docId w15:val="{99BD58B9-9B24-4C1A-BC12-2EAF4F28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64812"/>
    <w:pPr>
      <w:keepNext/>
      <w:spacing w:after="0" w:line="240" w:lineRule="auto"/>
      <w:outlineLvl w:val="0"/>
    </w:pPr>
    <w:rPr>
      <w:rFonts w:ascii="Times New Roman" w:eastAsia="Times New Roman" w:hAnsi="Times New Roman" w:cs="Times New Roman"/>
      <w:b/>
      <w:smallCaps/>
      <w:sz w:val="28"/>
      <w:szCs w:val="20"/>
    </w:rPr>
  </w:style>
  <w:style w:type="paragraph" w:styleId="Heading3">
    <w:name w:val="heading 3"/>
    <w:basedOn w:val="Normal"/>
    <w:next w:val="Normal"/>
    <w:link w:val="Heading3Char"/>
    <w:semiHidden/>
    <w:unhideWhenUsed/>
    <w:qFormat/>
    <w:rsid w:val="00B64812"/>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B648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812"/>
    <w:rPr>
      <w:rFonts w:ascii="Times New Roman" w:eastAsia="Times New Roman" w:hAnsi="Times New Roman" w:cs="Times New Roman"/>
      <w:b/>
      <w:smallCaps/>
      <w:sz w:val="28"/>
      <w:szCs w:val="20"/>
    </w:rPr>
  </w:style>
  <w:style w:type="character" w:customStyle="1" w:styleId="Heading3Char">
    <w:name w:val="Heading 3 Char"/>
    <w:basedOn w:val="DefaultParagraphFont"/>
    <w:link w:val="Heading3"/>
    <w:semiHidden/>
    <w:rsid w:val="00B64812"/>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B6481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B64812"/>
    <w:rPr>
      <w:sz w:val="16"/>
      <w:szCs w:val="16"/>
    </w:rPr>
  </w:style>
  <w:style w:type="paragraph" w:styleId="CommentText">
    <w:name w:val="annotation text"/>
    <w:basedOn w:val="Normal"/>
    <w:link w:val="CommentTextChar"/>
    <w:uiPriority w:val="99"/>
    <w:semiHidden/>
    <w:unhideWhenUsed/>
    <w:rsid w:val="00B64812"/>
    <w:pPr>
      <w:spacing w:line="240" w:lineRule="auto"/>
    </w:pPr>
    <w:rPr>
      <w:sz w:val="20"/>
      <w:szCs w:val="20"/>
    </w:rPr>
  </w:style>
  <w:style w:type="character" w:customStyle="1" w:styleId="CommentTextChar">
    <w:name w:val="Comment Text Char"/>
    <w:basedOn w:val="DefaultParagraphFont"/>
    <w:link w:val="CommentText"/>
    <w:uiPriority w:val="99"/>
    <w:semiHidden/>
    <w:rsid w:val="00B64812"/>
    <w:rPr>
      <w:sz w:val="20"/>
      <w:szCs w:val="20"/>
    </w:rPr>
  </w:style>
  <w:style w:type="paragraph" w:styleId="CommentSubject">
    <w:name w:val="annotation subject"/>
    <w:basedOn w:val="CommentText"/>
    <w:next w:val="CommentText"/>
    <w:link w:val="CommentSubjectChar"/>
    <w:uiPriority w:val="99"/>
    <w:semiHidden/>
    <w:unhideWhenUsed/>
    <w:rsid w:val="00B64812"/>
    <w:rPr>
      <w:b/>
      <w:bCs/>
    </w:rPr>
  </w:style>
  <w:style w:type="character" w:customStyle="1" w:styleId="CommentSubjectChar">
    <w:name w:val="Comment Subject Char"/>
    <w:basedOn w:val="CommentTextChar"/>
    <w:link w:val="CommentSubject"/>
    <w:uiPriority w:val="99"/>
    <w:semiHidden/>
    <w:rsid w:val="00B64812"/>
    <w:rPr>
      <w:b/>
      <w:bCs/>
      <w:sz w:val="20"/>
      <w:szCs w:val="20"/>
    </w:rPr>
  </w:style>
  <w:style w:type="paragraph" w:styleId="BalloonText">
    <w:name w:val="Balloon Text"/>
    <w:basedOn w:val="Normal"/>
    <w:link w:val="BalloonTextChar"/>
    <w:uiPriority w:val="99"/>
    <w:semiHidden/>
    <w:unhideWhenUsed/>
    <w:rsid w:val="00B64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812"/>
    <w:rPr>
      <w:rFonts w:ascii="Segoe UI" w:hAnsi="Segoe UI" w:cs="Segoe UI"/>
      <w:sz w:val="18"/>
      <w:szCs w:val="18"/>
    </w:rPr>
  </w:style>
  <w:style w:type="paragraph" w:styleId="Header">
    <w:name w:val="header"/>
    <w:basedOn w:val="Normal"/>
    <w:link w:val="HeaderChar"/>
    <w:uiPriority w:val="99"/>
    <w:unhideWhenUsed/>
    <w:rsid w:val="00482B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BD7"/>
  </w:style>
  <w:style w:type="paragraph" w:styleId="Footer">
    <w:name w:val="footer"/>
    <w:basedOn w:val="Normal"/>
    <w:link w:val="FooterChar"/>
    <w:uiPriority w:val="99"/>
    <w:unhideWhenUsed/>
    <w:rsid w:val="00482B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BD7"/>
  </w:style>
  <w:style w:type="character" w:styleId="Hyperlink">
    <w:name w:val="Hyperlink"/>
    <w:basedOn w:val="DefaultParagraphFont"/>
    <w:uiPriority w:val="99"/>
    <w:unhideWhenUsed/>
    <w:rsid w:val="002874D7"/>
    <w:rPr>
      <w:color w:val="0563C1" w:themeColor="hyperlink"/>
      <w:u w:val="single"/>
    </w:rPr>
  </w:style>
  <w:style w:type="paragraph" w:styleId="NoSpacing">
    <w:name w:val="No Spacing"/>
    <w:uiPriority w:val="1"/>
    <w:qFormat/>
    <w:rsid w:val="00F55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794034">
      <w:bodyDiv w:val="1"/>
      <w:marLeft w:val="0"/>
      <w:marRight w:val="0"/>
      <w:marTop w:val="0"/>
      <w:marBottom w:val="0"/>
      <w:divBdr>
        <w:top w:val="none" w:sz="0" w:space="0" w:color="auto"/>
        <w:left w:val="none" w:sz="0" w:space="0" w:color="auto"/>
        <w:bottom w:val="none" w:sz="0" w:space="0" w:color="auto"/>
        <w:right w:val="none" w:sz="0" w:space="0" w:color="auto"/>
      </w:divBdr>
    </w:div>
    <w:div w:id="1580214696">
      <w:bodyDiv w:val="1"/>
      <w:marLeft w:val="0"/>
      <w:marRight w:val="0"/>
      <w:marTop w:val="0"/>
      <w:marBottom w:val="0"/>
      <w:divBdr>
        <w:top w:val="none" w:sz="0" w:space="0" w:color="auto"/>
        <w:left w:val="none" w:sz="0" w:space="0" w:color="auto"/>
        <w:bottom w:val="none" w:sz="0" w:space="0" w:color="auto"/>
        <w:right w:val="none" w:sz="0" w:space="0" w:color="auto"/>
      </w:divBdr>
    </w:div>
    <w:div w:id="1640308183">
      <w:bodyDiv w:val="1"/>
      <w:marLeft w:val="0"/>
      <w:marRight w:val="0"/>
      <w:marTop w:val="0"/>
      <w:marBottom w:val="0"/>
      <w:divBdr>
        <w:top w:val="none" w:sz="0" w:space="0" w:color="auto"/>
        <w:left w:val="none" w:sz="0" w:space="0" w:color="auto"/>
        <w:bottom w:val="none" w:sz="0" w:space="0" w:color="auto"/>
        <w:right w:val="none" w:sz="0" w:space="0" w:color="auto"/>
      </w:divBdr>
    </w:div>
    <w:div w:id="206359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rs.wsu.edu/wp-content/uploads/2016/03/Exemption-Criteria.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395</Words>
  <Characters>2596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Zami</dc:creator>
  <cp:keywords/>
  <dc:description/>
  <cp:lastModifiedBy>DiNoto, Melissa A</cp:lastModifiedBy>
  <cp:revision>4</cp:revision>
  <cp:lastPrinted>2016-12-02T17:44:00Z</cp:lastPrinted>
  <dcterms:created xsi:type="dcterms:W3CDTF">2025-10-27T21:37:00Z</dcterms:created>
  <dcterms:modified xsi:type="dcterms:W3CDTF">2025-10-27T21:40:00Z</dcterms:modified>
</cp:coreProperties>
</file>