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95B2" w14:textId="4F455A5C" w:rsidR="00064A69" w:rsidRPr="006C3367" w:rsidRDefault="003C602B" w:rsidP="00811876">
      <w:pPr>
        <w:autoSpaceDE w:val="0"/>
        <w:autoSpaceDN w:val="0"/>
        <w:adjustRightInd w:val="0"/>
        <w:spacing w:after="0" w:line="240" w:lineRule="auto"/>
        <w:rPr>
          <w:rFonts w:ascii="ITC Stone Serif Std Medium" w:hAnsi="ITC Stone Serif Std Medium"/>
          <w:sz w:val="20"/>
        </w:rPr>
      </w:pPr>
      <w:r w:rsidRPr="006C3367">
        <w:rPr>
          <w:rFonts w:ascii="ITC Stone Serif Std Medium" w:hAnsi="ITC Stone Serif Std Medium" w:cs="StoneSans-Semibold"/>
          <w:b/>
          <w:bCs/>
          <w:color w:val="7F7F7F"/>
          <w:szCs w:val="24"/>
        </w:rPr>
        <w:t>ADMINISTRATIVE PROFESSIONAL POSITIONS MUST QUALIFY FOR ONE OF THE</w:t>
      </w:r>
      <w:r w:rsidR="00811876" w:rsidRPr="006C3367">
        <w:rPr>
          <w:rFonts w:ascii="ITC Stone Serif Std Medium" w:hAnsi="ITC Stone Serif Std Medium" w:cs="StoneSans-Semibold"/>
          <w:b/>
          <w:bCs/>
          <w:color w:val="7F7F7F"/>
          <w:szCs w:val="24"/>
        </w:rPr>
        <w:t xml:space="preserve"> </w:t>
      </w:r>
      <w:hyperlink r:id="rId6" w:history="1">
        <w:r w:rsidR="00DD7307" w:rsidRPr="006C3367">
          <w:rPr>
            <w:rStyle w:val="Hyperlink"/>
            <w:rFonts w:ascii="ITC Stone Serif Std Medium" w:hAnsi="ITC Stone Serif Std Medium" w:cs="StoneSans-Semibold"/>
            <w:b/>
            <w:bCs/>
            <w:szCs w:val="24"/>
          </w:rPr>
          <w:t>EXEMPTION CRITERIA</w:t>
        </w:r>
      </w:hyperlink>
      <w:r w:rsidR="009357F0" w:rsidRPr="006C3367">
        <w:rPr>
          <w:rStyle w:val="Hyperlink"/>
          <w:rFonts w:ascii="ITC Stone Serif Std Medium" w:hAnsi="ITC Stone Serif Std Medium" w:cs="StoneSans-Semibold"/>
          <w:b/>
          <w:bCs/>
          <w:szCs w:val="24"/>
          <w:u w:val="none"/>
        </w:rPr>
        <w:t xml:space="preserve"> </w:t>
      </w:r>
      <w:r w:rsidRPr="006C3367">
        <w:rPr>
          <w:rFonts w:ascii="ITC Stone Serif Std Medium" w:hAnsi="ITC Stone Serif Std Medium" w:cs="StoneSans-Semibold"/>
          <w:b/>
          <w:bCs/>
          <w:color w:val="7F7F7F"/>
          <w:szCs w:val="24"/>
        </w:rPr>
        <w:t>SET FORTH IN RCW 41.06.070.</w:t>
      </w:r>
    </w:p>
    <w:p w14:paraId="6387C614" w14:textId="77777777" w:rsidR="00064A69" w:rsidRPr="006C3367" w:rsidRDefault="00064A69" w:rsidP="00B64812">
      <w:pPr>
        <w:pStyle w:val="Heading1"/>
        <w:jc w:val="center"/>
        <w:rPr>
          <w:rFonts w:ascii="ITC Stone Serif Std Medium" w:hAnsi="ITC Stone Serif Std Medium" w:cs="Arial"/>
          <w:sz w:val="22"/>
          <w:szCs w:val="24"/>
        </w:rPr>
      </w:pPr>
    </w:p>
    <w:p w14:paraId="60420C9D" w14:textId="77777777" w:rsidR="00CF21E3" w:rsidRPr="006C3367" w:rsidRDefault="00CF21E3" w:rsidP="00CF21E3">
      <w:pPr>
        <w:pStyle w:val="NoSpacing"/>
        <w:jc w:val="center"/>
        <w:rPr>
          <w:rFonts w:ascii="ITC Stone Serif Std Medium" w:hAnsi="ITC Stone Serif Std Medium"/>
          <w:b/>
          <w:szCs w:val="24"/>
        </w:rPr>
      </w:pPr>
      <w:r w:rsidRPr="006C3367">
        <w:rPr>
          <w:rFonts w:ascii="ITC Stone Serif Std Medium" w:hAnsi="ITC Stone Serif Std Medium"/>
          <w:b/>
          <w:szCs w:val="24"/>
        </w:rPr>
        <w:t>ADMINISTRATIVE PROFESSIONAL</w:t>
      </w:r>
    </w:p>
    <w:p w14:paraId="60EAD78C" w14:textId="77777777" w:rsidR="00CF21E3" w:rsidRPr="006C3367" w:rsidRDefault="00CF21E3" w:rsidP="00CF21E3">
      <w:pPr>
        <w:pStyle w:val="NoSpacing"/>
        <w:jc w:val="center"/>
        <w:rPr>
          <w:rFonts w:ascii="ITC Stone Serif Std Medium" w:hAnsi="ITC Stone Serif Std Medium"/>
          <w:b/>
          <w:szCs w:val="24"/>
        </w:rPr>
      </w:pPr>
      <w:r w:rsidRPr="006C3367">
        <w:rPr>
          <w:rFonts w:ascii="ITC Stone Serif Std Medium" w:hAnsi="ITC Stone Serif Std Medium"/>
          <w:b/>
          <w:szCs w:val="24"/>
        </w:rPr>
        <w:t>Benchmark Job Class</w:t>
      </w:r>
    </w:p>
    <w:p w14:paraId="10616339" w14:textId="0D6E408F" w:rsidR="00B64812" w:rsidRPr="006C3367" w:rsidRDefault="00CF21E3" w:rsidP="00CF21E3">
      <w:pPr>
        <w:pStyle w:val="NoSpacing"/>
        <w:jc w:val="center"/>
        <w:rPr>
          <w:rFonts w:ascii="ITC Stone Serif Std Medium" w:hAnsi="ITC Stone Serif Std Medium" w:cs="Arial"/>
          <w:szCs w:val="24"/>
        </w:rPr>
      </w:pPr>
      <w:r w:rsidRPr="006C3367">
        <w:rPr>
          <w:rFonts w:ascii="ITC Stone Serif Std Medium" w:hAnsi="ITC Stone Serif Std Medium"/>
          <w:b/>
          <w:szCs w:val="24"/>
        </w:rPr>
        <w:t xml:space="preserve">Academic Coordinator/Advisor </w:t>
      </w:r>
      <w:r w:rsidRPr="006C3367">
        <w:rPr>
          <w:rFonts w:ascii="ITC Stone Serif Std Medium" w:hAnsi="ITC Stone Serif Std Medium" w:cs="Arial"/>
          <w:b/>
          <w:szCs w:val="24"/>
        </w:rPr>
        <w:t>3</w:t>
      </w:r>
      <w:r w:rsidR="009357F0" w:rsidRPr="006C3367">
        <w:rPr>
          <w:rFonts w:ascii="ITC Stone Serif Std Medium" w:hAnsi="ITC Stone Serif Std Medium" w:cs="Arial"/>
          <w:b/>
          <w:szCs w:val="24"/>
        </w:rPr>
        <w:t>/</w:t>
      </w:r>
      <w:r w:rsidR="00AA1C91" w:rsidRPr="006C3367">
        <w:rPr>
          <w:rFonts w:ascii="ITC Stone Serif Std Medium" w:hAnsi="ITC Stone Serif Std Medium" w:cs="Arial"/>
          <w:b/>
          <w:szCs w:val="24"/>
        </w:rPr>
        <w:t>1486</w:t>
      </w:r>
    </w:p>
    <w:p w14:paraId="03284958" w14:textId="77777777" w:rsidR="00B64812" w:rsidRPr="006C3367" w:rsidRDefault="00B64812" w:rsidP="00B64812">
      <w:pPr>
        <w:rPr>
          <w:rFonts w:ascii="ITC Stone Serif Std Medium" w:hAnsi="ITC Stone Serif Std Medium" w:cs="Arial"/>
          <w:szCs w:val="24"/>
        </w:rPr>
      </w:pPr>
    </w:p>
    <w:p w14:paraId="54888762" w14:textId="77777777" w:rsidR="00064A69" w:rsidRPr="006C3367" w:rsidRDefault="00064A69" w:rsidP="00811876">
      <w:pPr>
        <w:autoSpaceDE w:val="0"/>
        <w:autoSpaceDN w:val="0"/>
        <w:adjustRightInd w:val="0"/>
        <w:spacing w:after="0" w:line="240" w:lineRule="auto"/>
        <w:jc w:val="both"/>
        <w:rPr>
          <w:rFonts w:ascii="ITC Stone Serif Std Medium" w:hAnsi="ITC Stone Serif Std Medium" w:cs="StoneSans-Semibold"/>
          <w:b/>
          <w:bCs/>
          <w:szCs w:val="24"/>
          <w:u w:val="single"/>
        </w:rPr>
      </w:pPr>
      <w:r w:rsidRPr="006C3367">
        <w:rPr>
          <w:rFonts w:ascii="ITC Stone Serif Std Medium" w:hAnsi="ITC Stone Serif Std Medium" w:cs="StoneSans-Semibold"/>
          <w:b/>
          <w:bCs/>
          <w:szCs w:val="24"/>
          <w:u w:val="single"/>
        </w:rPr>
        <w:t>Function and General Scope</w:t>
      </w:r>
    </w:p>
    <w:p w14:paraId="49F1D87B" w14:textId="77777777" w:rsidR="00867FAF" w:rsidRPr="00867FAF" w:rsidRDefault="00867FAF" w:rsidP="00867FAF">
      <w:pPr>
        <w:autoSpaceDE w:val="0"/>
        <w:autoSpaceDN w:val="0"/>
        <w:adjustRightInd w:val="0"/>
        <w:spacing w:after="0" w:line="240" w:lineRule="auto"/>
        <w:jc w:val="both"/>
        <w:rPr>
          <w:rFonts w:ascii="ITC Stone Serif Std Medium" w:hAnsi="ITC Stone Serif Std Medium" w:cs="Arial"/>
          <w:szCs w:val="24"/>
        </w:rPr>
      </w:pPr>
      <w:r w:rsidRPr="00867FAF">
        <w:rPr>
          <w:rFonts w:ascii="ITC Stone Serif Std Medium" w:hAnsi="ITC Stone Serif Std Medium" w:cs="Arial"/>
          <w:szCs w:val="24"/>
        </w:rPr>
        <w:t>Positions assigned to this class are responsible for serving as a senior level professional, and/or overseeing and leading/supervising the functions of a group of employees involved in academic advisement or related activities for prospective or current graduate and/or undergraduate students in a specified academic department, school, or college. Senior level positions are typically considered subject-matter experts for the College.</w:t>
      </w:r>
    </w:p>
    <w:p w14:paraId="5E0AC7F0" w14:textId="77777777" w:rsidR="00867FAF" w:rsidRPr="00867FAF" w:rsidRDefault="00867FAF" w:rsidP="00867FAF">
      <w:pPr>
        <w:autoSpaceDE w:val="0"/>
        <w:autoSpaceDN w:val="0"/>
        <w:adjustRightInd w:val="0"/>
        <w:spacing w:after="0" w:line="240" w:lineRule="auto"/>
        <w:jc w:val="both"/>
        <w:rPr>
          <w:rFonts w:ascii="ITC Stone Serif Std Medium" w:hAnsi="ITC Stone Serif Std Medium" w:cs="Arial"/>
          <w:szCs w:val="24"/>
        </w:rPr>
      </w:pPr>
    </w:p>
    <w:p w14:paraId="5EA5398C" w14:textId="77777777" w:rsidR="00867FAF" w:rsidRPr="00867FAF" w:rsidRDefault="00867FAF" w:rsidP="00867FAF">
      <w:pPr>
        <w:autoSpaceDE w:val="0"/>
        <w:autoSpaceDN w:val="0"/>
        <w:adjustRightInd w:val="0"/>
        <w:spacing w:after="0" w:line="240" w:lineRule="auto"/>
        <w:jc w:val="both"/>
        <w:rPr>
          <w:rFonts w:ascii="ITC Stone Serif Std Medium" w:hAnsi="ITC Stone Serif Std Medium" w:cs="Arial"/>
          <w:szCs w:val="24"/>
        </w:rPr>
      </w:pPr>
      <w:r w:rsidRPr="00867FAF">
        <w:rPr>
          <w:rFonts w:ascii="ITC Stone Serif Std Medium" w:hAnsi="ITC Stone Serif Std Medium" w:cs="Arial"/>
          <w:szCs w:val="24"/>
        </w:rPr>
        <w:t>The majority of the responsibilities will include areas such as, but not limited to advising students in the areas of academic planning, interpretation of department, school, college and university requirements, degree requirements, career exploration and other matters; assisting unit heads to prepare and implement unit wide goals, procedures and controls; responsible for assessing departmental advising needs; working closely with academic advisors to ensure that a proactive and quality approach is taken with all student advising needs; analyzing existing goals and programs, program assessment, and recommending solutions and improvements, and implementing changes.</w:t>
      </w:r>
    </w:p>
    <w:p w14:paraId="039D9744" w14:textId="77777777" w:rsidR="00867FAF" w:rsidRPr="00867FAF" w:rsidRDefault="00867FAF" w:rsidP="00867FAF">
      <w:pPr>
        <w:autoSpaceDE w:val="0"/>
        <w:autoSpaceDN w:val="0"/>
        <w:adjustRightInd w:val="0"/>
        <w:spacing w:after="0" w:line="240" w:lineRule="auto"/>
        <w:jc w:val="both"/>
        <w:rPr>
          <w:rFonts w:ascii="ITC Stone Serif Std Medium" w:hAnsi="ITC Stone Serif Std Medium" w:cs="Arial"/>
          <w:szCs w:val="24"/>
        </w:rPr>
      </w:pPr>
    </w:p>
    <w:p w14:paraId="4FC0B24A" w14:textId="77777777" w:rsidR="00867FAF" w:rsidRPr="00867FAF" w:rsidRDefault="00867FAF" w:rsidP="00867FAF">
      <w:pPr>
        <w:autoSpaceDE w:val="0"/>
        <w:autoSpaceDN w:val="0"/>
        <w:adjustRightInd w:val="0"/>
        <w:spacing w:after="0" w:line="240" w:lineRule="auto"/>
        <w:jc w:val="both"/>
        <w:rPr>
          <w:rFonts w:ascii="ITC Stone Serif Std Medium" w:hAnsi="ITC Stone Serif Std Medium" w:cs="Arial"/>
          <w:szCs w:val="24"/>
        </w:rPr>
      </w:pPr>
      <w:r w:rsidRPr="00867FAF">
        <w:rPr>
          <w:rFonts w:ascii="ITC Stone Serif Std Medium" w:hAnsi="ITC Stone Serif Std Medium" w:cs="Arial"/>
          <w:szCs w:val="24"/>
        </w:rPr>
        <w:t>Positions are typically responsible for developing, implementing, and/or administering programs and initiatives, which reflect the University’s academic advising efforts; and provide leadership at workshops. Positions lead, supervise, or provide expert level guidance to paraprofessional, technical, and support staff.</w:t>
      </w:r>
    </w:p>
    <w:p w14:paraId="2E84AFA1" w14:textId="77777777" w:rsidR="00867FAF" w:rsidRPr="00867FAF" w:rsidRDefault="00867FAF" w:rsidP="00867FAF">
      <w:pPr>
        <w:autoSpaceDE w:val="0"/>
        <w:autoSpaceDN w:val="0"/>
        <w:adjustRightInd w:val="0"/>
        <w:spacing w:after="0" w:line="240" w:lineRule="auto"/>
        <w:jc w:val="both"/>
        <w:rPr>
          <w:rFonts w:ascii="ITC Stone Serif Std Medium" w:hAnsi="ITC Stone Serif Std Medium" w:cs="Arial"/>
          <w:szCs w:val="24"/>
        </w:rPr>
      </w:pPr>
    </w:p>
    <w:p w14:paraId="69C72F71" w14:textId="335278CC" w:rsidR="007E16E8" w:rsidRDefault="00867FAF" w:rsidP="00867FAF">
      <w:pPr>
        <w:autoSpaceDE w:val="0"/>
        <w:autoSpaceDN w:val="0"/>
        <w:adjustRightInd w:val="0"/>
        <w:spacing w:after="0" w:line="240" w:lineRule="auto"/>
        <w:jc w:val="both"/>
        <w:rPr>
          <w:rFonts w:ascii="ITC Stone Serif Std Medium" w:hAnsi="ITC Stone Serif Std Medium" w:cs="Arial"/>
          <w:szCs w:val="24"/>
        </w:rPr>
      </w:pPr>
      <w:r w:rsidRPr="00867FAF">
        <w:rPr>
          <w:rFonts w:ascii="ITC Stone Serif Std Medium" w:hAnsi="ITC Stone Serif Std Medium" w:cs="Arial"/>
          <w:szCs w:val="24"/>
        </w:rPr>
        <w:t>University standard caseload of up to 175 students. Total advisee caseload may fluctuate based on unit/area needs and structure in consultation with the Provosts Office.</w:t>
      </w:r>
    </w:p>
    <w:p w14:paraId="224B31CA" w14:textId="77777777" w:rsidR="00867FAF" w:rsidRPr="006C3367" w:rsidRDefault="00867FAF" w:rsidP="00867FAF">
      <w:pPr>
        <w:autoSpaceDE w:val="0"/>
        <w:autoSpaceDN w:val="0"/>
        <w:adjustRightInd w:val="0"/>
        <w:spacing w:after="0" w:line="240" w:lineRule="auto"/>
        <w:jc w:val="both"/>
        <w:rPr>
          <w:rFonts w:ascii="ITC Stone Serif Std Medium" w:hAnsi="ITC Stone Serif Std Medium" w:cs="Arial"/>
          <w:szCs w:val="24"/>
        </w:rPr>
      </w:pPr>
    </w:p>
    <w:p w14:paraId="75811152" w14:textId="34ECF7CD" w:rsidR="00B64812" w:rsidRPr="006C3367" w:rsidRDefault="00064A69" w:rsidP="00811876">
      <w:pPr>
        <w:keepNext/>
        <w:spacing w:after="0" w:line="240" w:lineRule="auto"/>
        <w:jc w:val="both"/>
        <w:outlineLvl w:val="3"/>
        <w:rPr>
          <w:rFonts w:ascii="ITC Stone Serif Std Medium" w:eastAsia="Times New Roman" w:hAnsi="ITC Stone Serif Std Medium" w:cs="Arial"/>
          <w:b/>
          <w:szCs w:val="24"/>
          <w:u w:val="single"/>
        </w:rPr>
      </w:pPr>
      <w:r w:rsidRPr="006C3367">
        <w:rPr>
          <w:rFonts w:ascii="ITC Stone Serif Std Medium" w:eastAsia="Times New Roman" w:hAnsi="ITC Stone Serif Std Medium" w:cs="Arial"/>
          <w:b/>
          <w:szCs w:val="24"/>
          <w:u w:val="single"/>
        </w:rPr>
        <w:t>Classification Requirements (Minimum Qualifications)</w:t>
      </w:r>
    </w:p>
    <w:p w14:paraId="73825F16" w14:textId="185183F2" w:rsidR="00B64812" w:rsidRDefault="002E0CF9" w:rsidP="00811876">
      <w:pPr>
        <w:autoSpaceDE w:val="0"/>
        <w:autoSpaceDN w:val="0"/>
        <w:adjustRightInd w:val="0"/>
        <w:spacing w:after="0" w:line="240" w:lineRule="auto"/>
        <w:jc w:val="both"/>
        <w:rPr>
          <w:rFonts w:ascii="ITC Stone Serif Std Medium" w:hAnsi="ITC Stone Serif Std Medium" w:cs="Arial"/>
          <w:szCs w:val="24"/>
        </w:rPr>
      </w:pPr>
      <w:r w:rsidRPr="006C3367">
        <w:rPr>
          <w:rFonts w:ascii="ITC Stone Serif Std Medium" w:hAnsi="ITC Stone Serif Std Medium" w:cs="Arial"/>
          <w:szCs w:val="24"/>
        </w:rPr>
        <w:t>Bachelor’</w:t>
      </w:r>
      <w:r w:rsidR="002551AC" w:rsidRPr="006C3367">
        <w:rPr>
          <w:rFonts w:ascii="ITC Stone Serif Std Medium" w:hAnsi="ITC Stone Serif Std Medium" w:cs="Arial"/>
          <w:szCs w:val="24"/>
        </w:rPr>
        <w:t>s d</w:t>
      </w:r>
      <w:r w:rsidRPr="006C3367">
        <w:rPr>
          <w:rFonts w:ascii="ITC Stone Serif Std Medium" w:hAnsi="ITC Stone Serif Std Medium" w:cs="Arial"/>
          <w:szCs w:val="24"/>
        </w:rPr>
        <w:t>egree and</w:t>
      </w:r>
      <w:r w:rsidR="005A30FE" w:rsidRPr="006C3367">
        <w:rPr>
          <w:rFonts w:ascii="ITC Stone Serif Std Medium" w:hAnsi="ITC Stone Serif Std Medium" w:cs="Arial"/>
          <w:szCs w:val="24"/>
        </w:rPr>
        <w:t xml:space="preserve"> four (4) </w:t>
      </w:r>
      <w:r w:rsidR="00B64812" w:rsidRPr="006C3367">
        <w:rPr>
          <w:rFonts w:ascii="ITC Stone Serif Std Medium" w:hAnsi="ITC Stone Serif Std Medium" w:cs="Arial"/>
          <w:szCs w:val="24"/>
        </w:rPr>
        <w:t xml:space="preserve">years of </w:t>
      </w:r>
      <w:r w:rsidR="005024B3" w:rsidRPr="006C3367">
        <w:rPr>
          <w:rFonts w:ascii="ITC Stone Serif Std Medium" w:hAnsi="ITC Stone Serif Std Medium" w:cs="Arial"/>
          <w:szCs w:val="24"/>
        </w:rPr>
        <w:t xml:space="preserve">full-time </w:t>
      </w:r>
      <w:r w:rsidR="00B64812" w:rsidRPr="006C3367">
        <w:rPr>
          <w:rFonts w:ascii="ITC Stone Serif Std Medium" w:hAnsi="ITC Stone Serif Std Medium" w:cs="Arial"/>
          <w:szCs w:val="24"/>
        </w:rPr>
        <w:t xml:space="preserve">academic advising experience </w:t>
      </w:r>
      <w:r w:rsidR="005F4F62" w:rsidRPr="006C3367">
        <w:rPr>
          <w:rFonts w:ascii="ITC Stone Serif Std Medium" w:hAnsi="ITC Stone Serif Std Medium" w:cs="Arial"/>
          <w:szCs w:val="24"/>
        </w:rPr>
        <w:t xml:space="preserve">at a college or university </w:t>
      </w:r>
      <w:r w:rsidR="00B64812" w:rsidRPr="006C3367">
        <w:rPr>
          <w:rFonts w:ascii="ITC Stone Serif Std Medium" w:hAnsi="ITC Stone Serif Std Medium" w:cs="Arial"/>
          <w:szCs w:val="24"/>
        </w:rPr>
        <w:t xml:space="preserve">or </w:t>
      </w:r>
      <w:r w:rsidR="0064536A" w:rsidRPr="006C3367">
        <w:rPr>
          <w:rFonts w:ascii="ITC Stone Serif Std Medium" w:hAnsi="ITC Stone Serif Std Medium" w:cs="Arial"/>
          <w:szCs w:val="24"/>
        </w:rPr>
        <w:t xml:space="preserve">relevant professional </w:t>
      </w:r>
      <w:r w:rsidR="00B64812" w:rsidRPr="006C3367">
        <w:rPr>
          <w:rFonts w:ascii="ITC Stone Serif Std Medium" w:hAnsi="ITC Stone Serif Std Medium" w:cs="Arial"/>
          <w:szCs w:val="24"/>
        </w:rPr>
        <w:t xml:space="preserve">experience. </w:t>
      </w:r>
      <w:r w:rsidR="00B519F1" w:rsidRPr="006C3367">
        <w:rPr>
          <w:rFonts w:ascii="ITC Stone Serif Std Medium" w:hAnsi="ITC Stone Serif Std Medium" w:cs="Arial"/>
          <w:szCs w:val="24"/>
        </w:rPr>
        <w:t xml:space="preserve">A </w:t>
      </w:r>
      <w:proofErr w:type="gramStart"/>
      <w:r w:rsidR="00B519F1" w:rsidRPr="006C3367">
        <w:rPr>
          <w:rFonts w:ascii="ITC Stone Serif Std Medium" w:hAnsi="ITC Stone Serif Std Medium" w:cs="Arial"/>
          <w:szCs w:val="24"/>
        </w:rPr>
        <w:t>Master’s</w:t>
      </w:r>
      <w:proofErr w:type="gramEnd"/>
      <w:r w:rsidR="00B519F1" w:rsidRPr="006C3367">
        <w:rPr>
          <w:rFonts w:ascii="ITC Stone Serif Std Medium" w:hAnsi="ITC Stone Serif Std Medium" w:cs="Arial"/>
          <w:szCs w:val="24"/>
        </w:rPr>
        <w:t xml:space="preserve"> degree in a related field may substitute for one (1) year of professional work experience. </w:t>
      </w:r>
      <w:r w:rsidR="00B64812" w:rsidRPr="006C3367">
        <w:rPr>
          <w:rFonts w:ascii="ITC Stone Serif Std Medium" w:hAnsi="ITC Stone Serif Std Medium" w:cs="Arial"/>
          <w:szCs w:val="24"/>
        </w:rPr>
        <w:t xml:space="preserve">Any combination of relevant education and professional </w:t>
      </w:r>
      <w:r w:rsidR="005F4F62" w:rsidRPr="006C3367">
        <w:rPr>
          <w:rFonts w:ascii="ITC Stone Serif Std Medium" w:hAnsi="ITC Stone Serif Std Medium" w:cs="Arial"/>
          <w:szCs w:val="24"/>
        </w:rPr>
        <w:t xml:space="preserve">academic advising </w:t>
      </w:r>
      <w:r w:rsidR="00B64812" w:rsidRPr="006C3367">
        <w:rPr>
          <w:rFonts w:ascii="ITC Stone Serif Std Medium" w:hAnsi="ITC Stone Serif Std Medium" w:cs="Arial"/>
          <w:szCs w:val="24"/>
        </w:rPr>
        <w:t>experience may be substituted for the educational requirement on a year</w:t>
      </w:r>
      <w:r w:rsidR="00B64812" w:rsidRPr="006C3367">
        <w:rPr>
          <w:rFonts w:ascii="Cambria Math" w:hAnsi="Cambria Math" w:cs="Cambria Math"/>
          <w:szCs w:val="24"/>
        </w:rPr>
        <w:t>‐</w:t>
      </w:r>
      <w:r w:rsidR="00B64812" w:rsidRPr="006C3367">
        <w:rPr>
          <w:rFonts w:ascii="ITC Stone Serif Std Medium" w:hAnsi="ITC Stone Serif Std Medium" w:cs="Arial"/>
          <w:szCs w:val="24"/>
        </w:rPr>
        <w:t>for</w:t>
      </w:r>
      <w:r w:rsidR="00B64812" w:rsidRPr="006C3367">
        <w:rPr>
          <w:rFonts w:ascii="Cambria Math" w:hAnsi="Cambria Math" w:cs="Cambria Math"/>
          <w:szCs w:val="24"/>
        </w:rPr>
        <w:t>‐</w:t>
      </w:r>
      <w:r w:rsidR="00B64812" w:rsidRPr="006C3367">
        <w:rPr>
          <w:rFonts w:ascii="ITC Stone Serif Std Medium" w:hAnsi="ITC Stone Serif Std Medium" w:cs="Arial"/>
          <w:szCs w:val="24"/>
        </w:rPr>
        <w:t>year basis.</w:t>
      </w:r>
      <w:r w:rsidR="007E252C" w:rsidRPr="006C3367">
        <w:rPr>
          <w:rFonts w:ascii="ITC Stone Serif Std Medium" w:hAnsi="ITC Stone Serif Std Medium" w:cs="Arial"/>
          <w:szCs w:val="24"/>
        </w:rPr>
        <w:t xml:space="preserve"> </w:t>
      </w:r>
      <w:r w:rsidR="005024B3" w:rsidRPr="006C3367">
        <w:rPr>
          <w:rFonts w:ascii="ITC Stone Serif Std Medium" w:hAnsi="ITC Stone Serif Std Medium" w:cs="Arial"/>
          <w:szCs w:val="24"/>
        </w:rPr>
        <w:t>Positions who will lead or supervis</w:t>
      </w:r>
      <w:r w:rsidR="003B61F3" w:rsidRPr="006C3367">
        <w:rPr>
          <w:rFonts w:ascii="ITC Stone Serif Std Medium" w:hAnsi="ITC Stone Serif Std Medium" w:cs="Arial"/>
          <w:szCs w:val="24"/>
        </w:rPr>
        <w:t>e</w:t>
      </w:r>
      <w:r w:rsidR="005024B3" w:rsidRPr="006C3367">
        <w:rPr>
          <w:rFonts w:ascii="ITC Stone Serif Std Medium" w:hAnsi="ITC Stone Serif Std Medium" w:cs="Arial"/>
          <w:szCs w:val="24"/>
        </w:rPr>
        <w:t xml:space="preserve"> will require one or more years of full-time experience leading or supervising the work of others.</w:t>
      </w:r>
    </w:p>
    <w:p w14:paraId="4962CE5E" w14:textId="77777777" w:rsidR="00680EEC" w:rsidRDefault="00680EEC" w:rsidP="00811876">
      <w:pPr>
        <w:autoSpaceDE w:val="0"/>
        <w:autoSpaceDN w:val="0"/>
        <w:adjustRightInd w:val="0"/>
        <w:spacing w:after="0" w:line="240" w:lineRule="auto"/>
        <w:jc w:val="both"/>
        <w:rPr>
          <w:rFonts w:ascii="ITC Stone Serif Std Medium" w:hAnsi="ITC Stone Serif Std Medium" w:cs="Arial"/>
          <w:szCs w:val="24"/>
        </w:rPr>
      </w:pPr>
    </w:p>
    <w:p w14:paraId="0B7D8008" w14:textId="77777777" w:rsidR="00680EEC" w:rsidRDefault="00680EEC" w:rsidP="00680EEC">
      <w:pPr>
        <w:autoSpaceDE w:val="0"/>
        <w:autoSpaceDN w:val="0"/>
        <w:adjustRightInd w:val="0"/>
        <w:spacing w:after="0" w:line="240" w:lineRule="auto"/>
        <w:jc w:val="both"/>
        <w:rPr>
          <w:rFonts w:ascii="ITC Stone Serif Std Medium" w:hAnsi="ITC Stone Serif Std Medium" w:cs="Arial"/>
          <w:szCs w:val="24"/>
        </w:rPr>
      </w:pPr>
      <w:r w:rsidRPr="00075EAC">
        <w:rPr>
          <w:rFonts w:ascii="ITC Stone Serif Std Medium" w:hAnsi="ITC Stone Serif Std Medium" w:cs="Arial"/>
          <w:szCs w:val="24"/>
        </w:rPr>
        <w:t>Knowledge of advising and counseling techniques, with the ability to build trust and provide safe, supportive opportunities for students, from varied backgrounds, including, but not limited to, underrepresented, first generation, and/or high needs, to identify and pursue paths to graduation that support their educational goals and post-graduation plans.</w:t>
      </w:r>
    </w:p>
    <w:p w14:paraId="68A5609C" w14:textId="77777777" w:rsidR="00680EEC" w:rsidRDefault="00680EEC" w:rsidP="00680EEC">
      <w:pPr>
        <w:autoSpaceDE w:val="0"/>
        <w:autoSpaceDN w:val="0"/>
        <w:adjustRightInd w:val="0"/>
        <w:spacing w:after="0" w:line="240" w:lineRule="auto"/>
        <w:jc w:val="both"/>
        <w:rPr>
          <w:rFonts w:ascii="ITC Stone Serif Std Medium" w:hAnsi="ITC Stone Serif Std Medium" w:cs="Arial"/>
          <w:szCs w:val="24"/>
        </w:rPr>
      </w:pPr>
    </w:p>
    <w:p w14:paraId="2B78393C" w14:textId="77777777" w:rsidR="00680EEC" w:rsidRPr="00D826F6" w:rsidRDefault="00680EEC" w:rsidP="00680EEC">
      <w:pPr>
        <w:autoSpaceDE w:val="0"/>
        <w:autoSpaceDN w:val="0"/>
        <w:adjustRightInd w:val="0"/>
        <w:spacing w:after="0" w:line="240" w:lineRule="auto"/>
        <w:jc w:val="both"/>
        <w:rPr>
          <w:rFonts w:ascii="ITC Stone Serif Std Medium" w:hAnsi="ITC Stone Serif Std Medium" w:cs="Arial"/>
          <w:szCs w:val="24"/>
        </w:rPr>
      </w:pPr>
      <w:r w:rsidRPr="00075EAC">
        <w:rPr>
          <w:rFonts w:ascii="ITC Stone Serif Std Medium" w:hAnsi="ITC Stone Serif Std Medium" w:cs="Arial"/>
          <w:szCs w:val="24"/>
        </w:rPr>
        <w:t>Demonstrated ability to effectively and respectfully interact with students, faculty, and staff of diverse social, cultural, economic, and educational backgrounds, and an understanding of the institutional barriers and equity gaps faced by historically under-served student populations in higher education.</w:t>
      </w:r>
    </w:p>
    <w:p w14:paraId="60B499CF" w14:textId="10841D4C" w:rsidR="00867FAF" w:rsidRDefault="00867FAF">
      <w:pPr>
        <w:rPr>
          <w:rFonts w:ascii="ITC Stone Serif Std Medium" w:hAnsi="ITC Stone Serif Std Medium" w:cs="Arial"/>
          <w:szCs w:val="24"/>
        </w:rPr>
      </w:pPr>
      <w:r>
        <w:rPr>
          <w:rFonts w:ascii="ITC Stone Serif Std Medium" w:hAnsi="ITC Stone Serif Std Medium" w:cs="Arial"/>
          <w:szCs w:val="24"/>
        </w:rPr>
        <w:br w:type="page"/>
      </w:r>
    </w:p>
    <w:p w14:paraId="2DAE3784" w14:textId="77777777" w:rsidR="00867FAF" w:rsidRDefault="00867FAF" w:rsidP="00867FAF">
      <w:pPr>
        <w:pStyle w:val="Heading3"/>
        <w:rPr>
          <w:rFonts w:ascii="Arial" w:hAnsi="Arial" w:cs="Arial"/>
          <w:noProof/>
        </w:rPr>
      </w:pPr>
      <w:r w:rsidRPr="00FA4679">
        <w:rPr>
          <w:rFonts w:ascii="Arial" w:hAnsi="Arial" w:cs="Arial"/>
          <w:noProof/>
        </w:rPr>
        <w:drawing>
          <wp:inline distT="0" distB="0" distL="0" distR="0" wp14:anchorId="02A85D88" wp14:editId="1018D09F">
            <wp:extent cx="5943600" cy="3533775"/>
            <wp:effectExtent l="19050" t="19050" r="19050" b="28575"/>
            <wp:docPr id="2048934463" name="Picture 3" descr="A diagram of a company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34463" name="Picture 3" descr="A diagram of a company organiza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33775"/>
                    </a:xfrm>
                    <a:prstGeom prst="rect">
                      <a:avLst/>
                    </a:prstGeom>
                    <a:noFill/>
                    <a:ln w="9525" cmpd="sng">
                      <a:solidFill>
                        <a:srgbClr val="000000"/>
                      </a:solidFill>
                      <a:miter lim="800000"/>
                      <a:headEnd/>
                      <a:tailEnd/>
                    </a:ln>
                    <a:effectLst/>
                  </pic:spPr>
                </pic:pic>
              </a:graphicData>
            </a:graphic>
          </wp:inline>
        </w:drawing>
      </w:r>
    </w:p>
    <w:p w14:paraId="0F9481E5" w14:textId="77777777" w:rsidR="00867FAF" w:rsidRDefault="00867FAF" w:rsidP="00867FAF">
      <w:pPr>
        <w:pStyle w:val="Heading3"/>
        <w:rPr>
          <w:rFonts w:ascii="Arial" w:hAnsi="Arial" w:cs="Arial"/>
          <w:noProof/>
        </w:rPr>
      </w:pPr>
    </w:p>
    <w:p w14:paraId="4F47F7D8" w14:textId="77777777" w:rsidR="00867FAF" w:rsidRDefault="00867FAF" w:rsidP="00867FAF">
      <w:pPr>
        <w:pStyle w:val="Heading3"/>
        <w:rPr>
          <w:rFonts w:ascii="Arial" w:hAnsi="Arial" w:cs="Arial"/>
          <w:noProof/>
        </w:rPr>
      </w:pPr>
      <w:r w:rsidRPr="00FA4679">
        <w:rPr>
          <w:rFonts w:ascii="Arial" w:hAnsi="Arial" w:cs="Arial"/>
          <w:noProof/>
        </w:rPr>
        <w:drawing>
          <wp:inline distT="0" distB="0" distL="0" distR="0" wp14:anchorId="23082FAB" wp14:editId="0C197DAE">
            <wp:extent cx="5943600" cy="3648075"/>
            <wp:effectExtent l="19050" t="19050" r="19050" b="28575"/>
            <wp:docPr id="515679675" name="Picture 2" descr="A diagram of a company'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79675" name="Picture 2" descr="A diagram of a company's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48075"/>
                    </a:xfrm>
                    <a:prstGeom prst="rect">
                      <a:avLst/>
                    </a:prstGeom>
                    <a:noFill/>
                    <a:ln w="9525" cmpd="sng">
                      <a:solidFill>
                        <a:srgbClr val="000000"/>
                      </a:solidFill>
                      <a:miter lim="800000"/>
                      <a:headEnd/>
                      <a:tailEnd/>
                    </a:ln>
                    <a:effectLst/>
                  </pic:spPr>
                </pic:pic>
              </a:graphicData>
            </a:graphic>
          </wp:inline>
        </w:drawing>
      </w:r>
    </w:p>
    <w:p w14:paraId="16FC0884" w14:textId="77777777" w:rsidR="00867FAF" w:rsidRDefault="00867FAF" w:rsidP="00867FAF">
      <w:pPr>
        <w:pStyle w:val="Heading3"/>
        <w:rPr>
          <w:rFonts w:ascii="Arial" w:hAnsi="Arial" w:cs="Arial"/>
          <w:noProof/>
        </w:rPr>
      </w:pPr>
    </w:p>
    <w:p w14:paraId="5DDF6AC5" w14:textId="77777777" w:rsidR="00867FAF" w:rsidRPr="005E5B01" w:rsidRDefault="00867FAF" w:rsidP="00867FAF">
      <w:pPr>
        <w:pStyle w:val="Heading3"/>
        <w:rPr>
          <w:rFonts w:ascii="Arial" w:hAnsi="Arial" w:cs="Arial"/>
        </w:rPr>
      </w:pPr>
      <w:r w:rsidRPr="00FA4679">
        <w:rPr>
          <w:rFonts w:ascii="Arial" w:hAnsi="Arial" w:cs="Arial"/>
          <w:noProof/>
        </w:rPr>
        <w:drawing>
          <wp:inline distT="0" distB="0" distL="0" distR="0" wp14:anchorId="48F7256C" wp14:editId="4C637654">
            <wp:extent cx="5943600" cy="2628900"/>
            <wp:effectExtent l="19050" t="19050" r="19050" b="19050"/>
            <wp:docPr id="1999030373" name="Picture 1" descr="A diagram of a company's financi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30373" name="Picture 1" descr="A diagram of a company's financial structu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28900"/>
                    </a:xfrm>
                    <a:prstGeom prst="rect">
                      <a:avLst/>
                    </a:prstGeom>
                    <a:noFill/>
                    <a:ln w="9525" cmpd="sng">
                      <a:solidFill>
                        <a:srgbClr val="000000"/>
                      </a:solidFill>
                      <a:miter lim="800000"/>
                      <a:headEnd/>
                      <a:tailEnd/>
                    </a:ln>
                    <a:effectLst/>
                  </pic:spPr>
                </pic:pic>
              </a:graphicData>
            </a:graphic>
          </wp:inline>
        </w:drawing>
      </w:r>
    </w:p>
    <w:p w14:paraId="5F0FF7F5" w14:textId="77777777" w:rsidR="00867FAF" w:rsidRPr="00495592" w:rsidRDefault="00867FAF" w:rsidP="00867FAF">
      <w:pPr>
        <w:rPr>
          <w:rFonts w:ascii="ITC Stone Serif Std Medium" w:hAnsi="ITC Stone Serif Std Medium" w:cs="Arial"/>
          <w:sz w:val="24"/>
          <w:szCs w:val="24"/>
        </w:rPr>
      </w:pPr>
    </w:p>
    <w:p w14:paraId="3764B631" w14:textId="77777777" w:rsidR="00680EEC" w:rsidRPr="006C3367" w:rsidRDefault="00680EEC" w:rsidP="00811876">
      <w:pPr>
        <w:autoSpaceDE w:val="0"/>
        <w:autoSpaceDN w:val="0"/>
        <w:adjustRightInd w:val="0"/>
        <w:spacing w:after="0" w:line="240" w:lineRule="auto"/>
        <w:jc w:val="both"/>
        <w:rPr>
          <w:rFonts w:ascii="ITC Stone Serif Std Medium" w:hAnsi="ITC Stone Serif Std Medium" w:cs="Arial"/>
          <w:szCs w:val="24"/>
        </w:rPr>
      </w:pPr>
    </w:p>
    <w:p w14:paraId="5DF631EC" w14:textId="5087925F" w:rsidR="007E16E8" w:rsidRPr="006C3367" w:rsidRDefault="007E16E8" w:rsidP="00EE3050">
      <w:pPr>
        <w:rPr>
          <w:rFonts w:ascii="ITC Stone Serif Std Medium" w:hAnsi="ITC Stone Serif Std Medium" w:cs="Arial"/>
          <w:szCs w:val="24"/>
        </w:rPr>
      </w:pPr>
    </w:p>
    <w:sectPr w:rsidR="007E16E8" w:rsidRPr="006C33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10F3" w14:textId="77777777" w:rsidR="00BB2AEE" w:rsidRDefault="00BB2AEE" w:rsidP="00AA1C91">
      <w:pPr>
        <w:spacing w:after="0" w:line="240" w:lineRule="auto"/>
      </w:pPr>
      <w:r>
        <w:separator/>
      </w:r>
    </w:p>
  </w:endnote>
  <w:endnote w:type="continuationSeparator" w:id="0">
    <w:p w14:paraId="14E161D2" w14:textId="77777777" w:rsidR="00BB2AEE" w:rsidRDefault="00BB2AEE" w:rsidP="00AA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StoneSans-Semi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F8D1" w14:textId="77777777" w:rsidR="00AA1C91" w:rsidRDefault="00AA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9195" w14:textId="77777777" w:rsidR="00BB2AEE" w:rsidRDefault="00BB2AEE" w:rsidP="00AA1C91">
      <w:pPr>
        <w:spacing w:after="0" w:line="240" w:lineRule="auto"/>
      </w:pPr>
      <w:r>
        <w:separator/>
      </w:r>
    </w:p>
  </w:footnote>
  <w:footnote w:type="continuationSeparator" w:id="0">
    <w:p w14:paraId="202FB78A" w14:textId="77777777" w:rsidR="00BB2AEE" w:rsidRDefault="00BB2AEE" w:rsidP="00AA1C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12"/>
    <w:rsid w:val="00043538"/>
    <w:rsid w:val="00064A69"/>
    <w:rsid w:val="00136EC9"/>
    <w:rsid w:val="00143D73"/>
    <w:rsid w:val="00176175"/>
    <w:rsid w:val="001A3CAB"/>
    <w:rsid w:val="002551AC"/>
    <w:rsid w:val="002E0CF9"/>
    <w:rsid w:val="003B61F3"/>
    <w:rsid w:val="003C602B"/>
    <w:rsid w:val="003F4C72"/>
    <w:rsid w:val="005024B3"/>
    <w:rsid w:val="0057742B"/>
    <w:rsid w:val="005A30FE"/>
    <w:rsid w:val="005A6541"/>
    <w:rsid w:val="005C7BEE"/>
    <w:rsid w:val="005F4F62"/>
    <w:rsid w:val="00641008"/>
    <w:rsid w:val="0064536A"/>
    <w:rsid w:val="00680EEC"/>
    <w:rsid w:val="006C3367"/>
    <w:rsid w:val="007A4FFA"/>
    <w:rsid w:val="007E16E8"/>
    <w:rsid w:val="007E252C"/>
    <w:rsid w:val="00811876"/>
    <w:rsid w:val="00854A27"/>
    <w:rsid w:val="00855288"/>
    <w:rsid w:val="0085649D"/>
    <w:rsid w:val="00867FAF"/>
    <w:rsid w:val="008753BD"/>
    <w:rsid w:val="00876F80"/>
    <w:rsid w:val="009007BE"/>
    <w:rsid w:val="0092418F"/>
    <w:rsid w:val="009357F0"/>
    <w:rsid w:val="00963BB7"/>
    <w:rsid w:val="00A145B8"/>
    <w:rsid w:val="00A203D7"/>
    <w:rsid w:val="00AA1C91"/>
    <w:rsid w:val="00AA4BD1"/>
    <w:rsid w:val="00B519F1"/>
    <w:rsid w:val="00B52F6E"/>
    <w:rsid w:val="00B64812"/>
    <w:rsid w:val="00BB2AEE"/>
    <w:rsid w:val="00BB7CD2"/>
    <w:rsid w:val="00CF21E3"/>
    <w:rsid w:val="00CF6869"/>
    <w:rsid w:val="00DD7307"/>
    <w:rsid w:val="00E1575B"/>
    <w:rsid w:val="00E9624C"/>
    <w:rsid w:val="00EE3050"/>
    <w:rsid w:val="00EF1938"/>
    <w:rsid w:val="00FA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BFFC"/>
  <w15:docId w15:val="{EBDDA0E1-14FF-4119-ABF7-AAD3765B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64812"/>
    <w:pPr>
      <w:keepNext/>
      <w:spacing w:after="0" w:line="240" w:lineRule="auto"/>
      <w:outlineLvl w:val="0"/>
    </w:pPr>
    <w:rPr>
      <w:rFonts w:ascii="Times New Roman" w:eastAsia="Times New Roman" w:hAnsi="Times New Roman" w:cs="Times New Roman"/>
      <w:b/>
      <w:smallCaps/>
      <w:sz w:val="28"/>
      <w:szCs w:val="20"/>
    </w:rPr>
  </w:style>
  <w:style w:type="paragraph" w:styleId="Heading3">
    <w:name w:val="heading 3"/>
    <w:basedOn w:val="Normal"/>
    <w:next w:val="Normal"/>
    <w:link w:val="Heading3Char"/>
    <w:semiHidden/>
    <w:unhideWhenUsed/>
    <w:qFormat/>
    <w:rsid w:val="00B64812"/>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B648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812"/>
    <w:rPr>
      <w:rFonts w:ascii="Times New Roman" w:eastAsia="Times New Roman" w:hAnsi="Times New Roman" w:cs="Times New Roman"/>
      <w:b/>
      <w:smallCaps/>
      <w:sz w:val="28"/>
      <w:szCs w:val="20"/>
    </w:rPr>
  </w:style>
  <w:style w:type="character" w:customStyle="1" w:styleId="Heading3Char">
    <w:name w:val="Heading 3 Char"/>
    <w:basedOn w:val="DefaultParagraphFont"/>
    <w:link w:val="Heading3"/>
    <w:semiHidden/>
    <w:rsid w:val="00B64812"/>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B6481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B64812"/>
    <w:rPr>
      <w:sz w:val="16"/>
      <w:szCs w:val="16"/>
    </w:rPr>
  </w:style>
  <w:style w:type="paragraph" w:styleId="CommentText">
    <w:name w:val="annotation text"/>
    <w:basedOn w:val="Normal"/>
    <w:link w:val="CommentTextChar"/>
    <w:uiPriority w:val="99"/>
    <w:semiHidden/>
    <w:unhideWhenUsed/>
    <w:rsid w:val="00B64812"/>
    <w:pPr>
      <w:spacing w:line="240" w:lineRule="auto"/>
    </w:pPr>
    <w:rPr>
      <w:sz w:val="20"/>
      <w:szCs w:val="20"/>
    </w:rPr>
  </w:style>
  <w:style w:type="character" w:customStyle="1" w:styleId="CommentTextChar">
    <w:name w:val="Comment Text Char"/>
    <w:basedOn w:val="DefaultParagraphFont"/>
    <w:link w:val="CommentText"/>
    <w:uiPriority w:val="99"/>
    <w:semiHidden/>
    <w:rsid w:val="00B64812"/>
    <w:rPr>
      <w:sz w:val="20"/>
      <w:szCs w:val="20"/>
    </w:rPr>
  </w:style>
  <w:style w:type="paragraph" w:styleId="CommentSubject">
    <w:name w:val="annotation subject"/>
    <w:basedOn w:val="CommentText"/>
    <w:next w:val="CommentText"/>
    <w:link w:val="CommentSubjectChar"/>
    <w:uiPriority w:val="99"/>
    <w:semiHidden/>
    <w:unhideWhenUsed/>
    <w:rsid w:val="00B64812"/>
    <w:rPr>
      <w:b/>
      <w:bCs/>
    </w:rPr>
  </w:style>
  <w:style w:type="character" w:customStyle="1" w:styleId="CommentSubjectChar">
    <w:name w:val="Comment Subject Char"/>
    <w:basedOn w:val="CommentTextChar"/>
    <w:link w:val="CommentSubject"/>
    <w:uiPriority w:val="99"/>
    <w:semiHidden/>
    <w:rsid w:val="00B64812"/>
    <w:rPr>
      <w:b/>
      <w:bCs/>
      <w:sz w:val="20"/>
      <w:szCs w:val="20"/>
    </w:rPr>
  </w:style>
  <w:style w:type="paragraph" w:styleId="BalloonText">
    <w:name w:val="Balloon Text"/>
    <w:basedOn w:val="Normal"/>
    <w:link w:val="BalloonTextChar"/>
    <w:uiPriority w:val="99"/>
    <w:semiHidden/>
    <w:unhideWhenUsed/>
    <w:rsid w:val="00B64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12"/>
    <w:rPr>
      <w:rFonts w:ascii="Segoe UI" w:hAnsi="Segoe UI" w:cs="Segoe UI"/>
      <w:sz w:val="18"/>
      <w:szCs w:val="18"/>
    </w:rPr>
  </w:style>
  <w:style w:type="paragraph" w:styleId="Header">
    <w:name w:val="header"/>
    <w:basedOn w:val="Normal"/>
    <w:link w:val="HeaderChar"/>
    <w:uiPriority w:val="99"/>
    <w:unhideWhenUsed/>
    <w:rsid w:val="00AA1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C91"/>
  </w:style>
  <w:style w:type="paragraph" w:styleId="Footer">
    <w:name w:val="footer"/>
    <w:basedOn w:val="Normal"/>
    <w:link w:val="FooterChar"/>
    <w:uiPriority w:val="99"/>
    <w:unhideWhenUsed/>
    <w:rsid w:val="00AA1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C91"/>
  </w:style>
  <w:style w:type="character" w:styleId="Hyperlink">
    <w:name w:val="Hyperlink"/>
    <w:basedOn w:val="DefaultParagraphFont"/>
    <w:uiPriority w:val="99"/>
    <w:unhideWhenUsed/>
    <w:rsid w:val="00DD7307"/>
    <w:rPr>
      <w:color w:val="0563C1" w:themeColor="hyperlink"/>
      <w:u w:val="single"/>
    </w:rPr>
  </w:style>
  <w:style w:type="character" w:styleId="FollowedHyperlink">
    <w:name w:val="FollowedHyperlink"/>
    <w:basedOn w:val="DefaultParagraphFont"/>
    <w:uiPriority w:val="99"/>
    <w:semiHidden/>
    <w:unhideWhenUsed/>
    <w:rsid w:val="009357F0"/>
    <w:rPr>
      <w:color w:val="954F72" w:themeColor="followedHyperlink"/>
      <w:u w:val="single"/>
    </w:rPr>
  </w:style>
  <w:style w:type="paragraph" w:styleId="NoSpacing">
    <w:name w:val="No Spacing"/>
    <w:uiPriority w:val="1"/>
    <w:qFormat/>
    <w:rsid w:val="00CF2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14027">
      <w:bodyDiv w:val="1"/>
      <w:marLeft w:val="0"/>
      <w:marRight w:val="0"/>
      <w:marTop w:val="0"/>
      <w:marBottom w:val="0"/>
      <w:divBdr>
        <w:top w:val="none" w:sz="0" w:space="0" w:color="auto"/>
        <w:left w:val="none" w:sz="0" w:space="0" w:color="auto"/>
        <w:bottom w:val="none" w:sz="0" w:space="0" w:color="auto"/>
        <w:right w:val="none" w:sz="0" w:space="0" w:color="auto"/>
      </w:divBdr>
    </w:div>
    <w:div w:id="1580214696">
      <w:bodyDiv w:val="1"/>
      <w:marLeft w:val="0"/>
      <w:marRight w:val="0"/>
      <w:marTop w:val="0"/>
      <w:marBottom w:val="0"/>
      <w:divBdr>
        <w:top w:val="none" w:sz="0" w:space="0" w:color="auto"/>
        <w:left w:val="none" w:sz="0" w:space="0" w:color="auto"/>
        <w:bottom w:val="none" w:sz="0" w:space="0" w:color="auto"/>
        <w:right w:val="none" w:sz="0" w:space="0" w:color="auto"/>
      </w:divBdr>
    </w:div>
    <w:div w:id="20635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rs.wsu.edu/wp-content/uploads/2016/03/Exemption-Criteria.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424</Words>
  <Characters>2761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Zami</dc:creator>
  <cp:keywords/>
  <dc:description/>
  <cp:lastModifiedBy>DiNoto, Melissa A</cp:lastModifiedBy>
  <cp:revision>2</cp:revision>
  <cp:lastPrinted>2017-02-14T00:41:00Z</cp:lastPrinted>
  <dcterms:created xsi:type="dcterms:W3CDTF">2025-10-27T21:44:00Z</dcterms:created>
  <dcterms:modified xsi:type="dcterms:W3CDTF">2025-10-27T21:44:00Z</dcterms:modified>
</cp:coreProperties>
</file>